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EDD050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5DE590BE" w:rsidR="00867C9F" w:rsidRPr="009246A0" w:rsidRDefault="00E2333C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7883386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E2333C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B546091" w:rsidR="00A35428" w:rsidRPr="00E51B77" w:rsidRDefault="00E2333C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İzohips (Eş Yükselti Eğrileri) Yöntemi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2203424C" w:rsidR="00A35428" w:rsidRPr="00E2333C" w:rsidRDefault="00E2333C" w:rsidP="00EB69C0">
            <w:pPr>
              <w:rPr>
                <w:sz w:val="16"/>
                <w:szCs w:val="16"/>
              </w:rPr>
            </w:pPr>
            <w:r w:rsidRPr="00E2333C">
              <w:rPr>
                <w:sz w:val="16"/>
                <w:szCs w:val="16"/>
              </w:rPr>
              <w:t>9.1.8. Haritalarda yer şekillerinin gösteriminde kullanılan yöntem ve teknikleri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19618D97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  <w:r w:rsidR="00E2333C">
              <w:rPr>
                <w:bCs/>
                <w:sz w:val="16"/>
                <w:szCs w:val="16"/>
              </w:rPr>
              <w:t>, Coğrafi gözlem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79C44D22" w:rsidR="00A35428" w:rsidRPr="00241F8A" w:rsidRDefault="00E2333C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E2333C">
              <w:rPr>
                <w:sz w:val="16"/>
                <w:szCs w:val="16"/>
              </w:rPr>
              <w:t xml:space="preserve">Eş yükselti eğrilerinin özelliklerine yer verilir. Eş yükselti eğrileri ile çizilmiş haritalar üzerinde yer şekillerinin ayırt edilmesine yer verilir. </w:t>
            </w:r>
            <w:r w:rsidRPr="00E2333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7881A614" w14:textId="77777777" w:rsidR="00DC06C5" w:rsidRPr="00E2333C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E2333C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7E6E4A71" w14:textId="2F0352B6" w:rsidR="00E2333C" w:rsidRPr="00FD17F1" w:rsidRDefault="00FD17F1" w:rsidP="00E2333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FD17F1">
              <w:rPr>
                <w:b/>
                <w:bCs/>
                <w:noProof w:val="0"/>
                <w:sz w:val="16"/>
                <w:szCs w:val="16"/>
                <w:lang w:eastAsia="tr-TR"/>
              </w:rPr>
              <w:t>İzohips (Eş Yükselti Eğrileri) Yöntemi</w:t>
            </w:r>
          </w:p>
          <w:p w14:paraId="2C55BFFE" w14:textId="1AEF650A" w:rsidR="00E2333C" w:rsidRPr="00E2333C" w:rsidRDefault="00FD17F1" w:rsidP="00FD17F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CAC2534" wp14:editId="599BA8EC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304165</wp:posOffset>
                  </wp:positionV>
                  <wp:extent cx="1965960" cy="4246880"/>
                  <wp:effectExtent l="0" t="0" r="0" b="127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424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33C" w:rsidRPr="00E2333C">
              <w:rPr>
                <w:noProof w:val="0"/>
                <w:color w:val="000000"/>
                <w:sz w:val="16"/>
                <w:szCs w:val="16"/>
                <w:lang w:eastAsia="tr-TR"/>
              </w:rPr>
              <w:t>Deniz seviyesinden itibaren aynı yükselti değerine sahip olan noktaların birleştirilmesiyle elde edilen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2333C" w:rsidRPr="00E2333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iç içe kapalı eğrilere </w:t>
            </w:r>
            <w:r w:rsidR="00E2333C" w:rsidRPr="00E2333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izohips (eş yükselti) eğrisi </w:t>
            </w:r>
            <w:r w:rsidR="00E2333C" w:rsidRPr="00E2333C">
              <w:rPr>
                <w:noProof w:val="0"/>
                <w:color w:val="000000"/>
                <w:sz w:val="16"/>
                <w:szCs w:val="16"/>
                <w:lang w:eastAsia="tr-TR"/>
              </w:rPr>
              <w:t>denir. Yeryüzü şekilleri ile birlikte denizlerin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2333C" w:rsidRPr="00E2333C">
              <w:rPr>
                <w:noProof w:val="0"/>
                <w:color w:val="000000"/>
                <w:sz w:val="16"/>
                <w:szCs w:val="16"/>
                <w:lang w:eastAsia="tr-TR"/>
              </w:rPr>
              <w:t>derinlikleri de gösterilebilir. Deniz veya göl alanlarında aynı derinlikte olan noktaların birleştirilmesiyle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2333C" w:rsidRPr="00E2333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oluşan eğrilere ise </w:t>
            </w:r>
            <w:r w:rsidR="00E2333C" w:rsidRPr="00E2333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izobat (eş derinlik) eğrisi </w:t>
            </w:r>
            <w:r w:rsidR="00E2333C" w:rsidRPr="00E2333C">
              <w:rPr>
                <w:noProof w:val="0"/>
                <w:color w:val="000000"/>
                <w:sz w:val="16"/>
                <w:szCs w:val="16"/>
                <w:lang w:eastAsia="tr-TR"/>
              </w:rPr>
              <w:t>denir.</w:t>
            </w:r>
          </w:p>
          <w:p w14:paraId="2715A091" w14:textId="10D6C926" w:rsidR="00E2333C" w:rsidRPr="00E2333C" w:rsidRDefault="00E2333C" w:rsidP="00E2333C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C80138B" w14:textId="51A45242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Eş yükselti eğrilerinin özellikleri</w:t>
            </w:r>
          </w:p>
          <w:p w14:paraId="687A8C31" w14:textId="77777777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Kapalı eğriler şeklinde iç içe çizilir.</w:t>
            </w:r>
          </w:p>
          <w:p w14:paraId="05E482A1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06125B1" w14:textId="6ACAEC9F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Bu eğriler birbirini kesmez.</w:t>
            </w:r>
          </w:p>
          <w:p w14:paraId="43E93024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B9730E3" w14:textId="2A741F80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Eş yükselti eğrisi üzerindeki bütün noktaların yükseltisi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aynıdır. Yanda verilen haritadaki A, B ve C noktalarının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yükseltisi (150 metre) aynıdır.</w:t>
            </w:r>
          </w:p>
          <w:p w14:paraId="6FB0C8DE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9C69C1F" w14:textId="63E8A939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En geniş eğri en alçak yeri (D noktası), en dar eğri ise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en yüksek yeri (E noktası) gösterir. Bu eğriler, birbirini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en alçaktan en yükseğe doğru çevreler. Bu durum çukur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alanlar için geçerli değildir.</w:t>
            </w:r>
          </w:p>
          <w:p w14:paraId="0E998F9C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95ABB89" w14:textId="598BFFFE" w:rsid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Eğriler arasındaki yükselti farkı haritanın tamamında aynıdır.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Bu yükselti farkına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ekuidistans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ya da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eş yükselti</w:t>
            </w:r>
            <w:r w:rsidR="00FD17F1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eğrisi aralığı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denir.</w:t>
            </w:r>
          </w:p>
          <w:p w14:paraId="1577C8D1" w14:textId="77777777" w:rsidR="00FD17F1" w:rsidRP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DD0D275" w14:textId="7D4EC0C7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Eşit aralık haritanın ölçeğine göre değişir. Küçük ölçekli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haritalarda eşit aralık değeri büyüktür. Büyük ölçekli haritalarda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ise eşit aralık değeri küçüktür.</w:t>
            </w:r>
          </w:p>
          <w:p w14:paraId="1A7A8EF4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8D12799" w14:textId="51468C20" w:rsid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Eğimin arttığı yerlerde eğriler sık, azaldığı yerlerde ise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seyrek çizilir.</w:t>
            </w:r>
          </w:p>
          <w:p w14:paraId="48D67E5B" w14:textId="77777777" w:rsidR="00FD17F1" w:rsidRPr="00E2333C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72739B6" w14:textId="6F74C593" w:rsid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• Deniz seviyesinden geçen eğriye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kıyı çizgisi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denir. Kıyı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çizgisinin yükseltisi “0” metredir.</w:t>
            </w:r>
          </w:p>
          <w:p w14:paraId="6DCC94DB" w14:textId="77777777" w:rsidR="00FD17F1" w:rsidRPr="00E2333C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FCAE28B" w14:textId="7109FEFC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Birbirini çevrelemeyen komşu iki eş yükselti eğrisinin ve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akarsuyun her iki tarafındaki eğrinin yükseltisi aynıdır.</w:t>
            </w:r>
          </w:p>
          <w:p w14:paraId="24CBEBE3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AE0C5D3" w14:textId="2787EE41" w:rsidR="00E2333C" w:rsidRPr="00FD17F1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• İç içe kapalı halkalar şeklinde çizilen eğriler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tepeleri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gösterir.</w:t>
            </w:r>
          </w:p>
          <w:p w14:paraId="748CF4C7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946CDD1" w14:textId="3E0C2FA7" w:rsidR="00E2333C" w:rsidRPr="00FD17F1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• Dağ ya da tepelerin en yüksek noktasına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zirve (doruk)</w:t>
            </w:r>
            <w:r w:rsidR="00FD17F1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denir. Eş yükselti eğrilerinde zirve, nokta “</w:t>
            </w:r>
            <w:r w:rsidRPr="00E2333C">
              <w:rPr>
                <w:rFonts w:eastAsia="Lora-Bold"/>
                <w:b/>
                <w:bCs/>
                <w:noProof w:val="0"/>
                <w:color w:val="046175"/>
                <w:sz w:val="16"/>
                <w:szCs w:val="16"/>
                <w:lang w:eastAsia="tr-TR"/>
              </w:rPr>
              <w:t>.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” ya da üçgen</w:t>
            </w:r>
            <w:r w:rsidR="00FD17F1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“ ” sembolü ile gösterilir.</w:t>
            </w:r>
          </w:p>
          <w:p w14:paraId="72F1C028" w14:textId="77777777" w:rsidR="00FD17F1" w:rsidRDefault="00FD17F1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6C5292EE" w14:textId="5E9771B3" w:rsidR="00E2333C" w:rsidRPr="00E2333C" w:rsidRDefault="00E2333C" w:rsidP="00E2333C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• İki tepe arasında kalan alçak yerlere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boyun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denir.</w:t>
            </w:r>
          </w:p>
          <w:p w14:paraId="3D952125" w14:textId="77777777" w:rsidR="00FD17F1" w:rsidRDefault="00FD17F1" w:rsidP="00FD17F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216A3E9" w14:textId="76F5B802" w:rsidR="00E2333C" w:rsidRDefault="00E2333C" w:rsidP="00FD17F1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• Vadi ve tepelerin kenarları ile sırtların her iki tarafında</w:t>
            </w:r>
            <w:r w:rsidR="00FD17F1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kalan kısımlara </w:t>
            </w:r>
            <w:r w:rsidRPr="00E2333C">
              <w:rPr>
                <w:rFonts w:eastAsia="Lora-Bold"/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yamaç </w:t>
            </w:r>
            <w:r w:rsidRPr="00E2333C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denir.</w:t>
            </w:r>
          </w:p>
          <w:p w14:paraId="6A236443" w14:textId="09A650A5" w:rsidR="00FD17F1" w:rsidRDefault="0037662E" w:rsidP="00E2333C">
            <w:pPr>
              <w:spacing w:before="20" w:after="20"/>
              <w:ind w:right="72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193EBAB" wp14:editId="22F6570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201295</wp:posOffset>
                  </wp:positionV>
                  <wp:extent cx="4216400" cy="13208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A161F6" w14:textId="39C30512" w:rsidR="00FD17F1" w:rsidRDefault="00FD17F1" w:rsidP="00E2333C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20C599BD" w14:textId="076886DE" w:rsidR="00FD17F1" w:rsidRDefault="00FD17F1" w:rsidP="00E2333C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54255D51" w14:textId="56A2FE71" w:rsidR="00FD17F1" w:rsidRDefault="00FD17F1" w:rsidP="00E2333C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34449E87" w14:textId="65F4DA16" w:rsidR="00FD17F1" w:rsidRDefault="00FD17F1" w:rsidP="00E2333C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74A276E8" w14:textId="061A24B0" w:rsidR="00FD17F1" w:rsidRDefault="00FD17F1" w:rsidP="00E2333C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41551250" w14:textId="324CD292" w:rsidR="00FD17F1" w:rsidRDefault="00FD17F1" w:rsidP="00FD17F1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2C058478" w14:textId="07DBFC3F" w:rsidR="00FD17F1" w:rsidRDefault="00FD17F1" w:rsidP="00FD17F1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7AC824F8" w14:textId="2B2224B9" w:rsidR="00FD17F1" w:rsidRPr="00FD17F1" w:rsidRDefault="0037662E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D409A2F" wp14:editId="5983504A">
                  <wp:simplePos x="0" y="0"/>
                  <wp:positionH relativeFrom="column">
                    <wp:posOffset>-4075430</wp:posOffset>
                  </wp:positionH>
                  <wp:positionV relativeFrom="paragraph">
                    <wp:posOffset>254000</wp:posOffset>
                  </wp:positionV>
                  <wp:extent cx="4203065" cy="1203960"/>
                  <wp:effectExtent l="0" t="0" r="6985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06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7F1"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  <w:t xml:space="preserve">• 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 xml:space="preserve">Akarsuyun aktığı yerde bulunan vadi, izohips haritalarında </w:t>
            </w:r>
            <w:r w:rsidR="00FD17F1" w:rsidRPr="00FD17F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V 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>şeklinde gösterilir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 xml:space="preserve">. 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 xml:space="preserve">Bu şeklin sivri ucu yüksek yerleri gösteriyorsa </w:t>
            </w:r>
            <w:r w:rsidR="00FD17F1" w:rsidRPr="00FD17F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vadi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>,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 xml:space="preserve">alçak yerleri gösteriyorsa </w:t>
            </w:r>
            <w:r w:rsidR="00FD17F1" w:rsidRPr="00FD17F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sırt </w:t>
            </w:r>
            <w:r w:rsidR="00FD17F1" w:rsidRPr="00FD17F1">
              <w:rPr>
                <w:noProof w:val="0"/>
                <w:sz w:val="16"/>
                <w:szCs w:val="16"/>
                <w:lang w:eastAsia="tr-TR"/>
              </w:rPr>
              <w:t>olur.</w:t>
            </w:r>
          </w:p>
          <w:p w14:paraId="75C40A14" w14:textId="03FA0F1B" w:rsidR="00FD17F1" w:rsidRPr="00FD17F1" w:rsidRDefault="00FD17F1" w:rsidP="00FD17F1">
            <w:pPr>
              <w:spacing w:before="20" w:after="20"/>
              <w:ind w:right="72"/>
              <w:rPr>
                <w:noProof w:val="0"/>
                <w:sz w:val="16"/>
                <w:szCs w:val="16"/>
                <w:lang w:eastAsia="tr-TR"/>
              </w:rPr>
            </w:pPr>
          </w:p>
          <w:p w14:paraId="47D314FB" w14:textId="25F67515" w:rsidR="00FD17F1" w:rsidRPr="00FD17F1" w:rsidRDefault="00FD17F1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FD17F1">
              <w:rPr>
                <w:noProof w:val="0"/>
                <w:sz w:val="16"/>
                <w:szCs w:val="16"/>
                <w:lang w:eastAsia="tr-TR"/>
              </w:rPr>
              <w:t>• İzohipslerden daha kalın ve farklı renkli çizgilerle akarsular gösterilir. Bu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FD17F1">
              <w:rPr>
                <w:noProof w:val="0"/>
                <w:sz w:val="16"/>
                <w:szCs w:val="16"/>
                <w:lang w:eastAsia="tr-TR"/>
              </w:rPr>
              <w:t>çizgiler izohipsleri keser. Akarsuların denize döküldükleri yerde taşıdıkları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FD17F1">
              <w:rPr>
                <w:noProof w:val="0"/>
                <w:sz w:val="16"/>
                <w:szCs w:val="16"/>
                <w:lang w:eastAsia="tr-TR"/>
              </w:rPr>
              <w:t xml:space="preserve">alüvyonları biriktirmesi ile denize doğru oluşan çıkıntılara </w:t>
            </w:r>
            <w:r w:rsidRPr="00FD17F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delta </w:t>
            </w:r>
            <w:r w:rsidRPr="00FD17F1">
              <w:rPr>
                <w:noProof w:val="0"/>
                <w:sz w:val="16"/>
                <w:szCs w:val="16"/>
                <w:lang w:eastAsia="tr-TR"/>
              </w:rPr>
              <w:t>denir. Gelgitin görüldüğü kıyılarda (okyanuslar), akarsu ağızlarına suların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FD17F1">
              <w:rPr>
                <w:noProof w:val="0"/>
                <w:sz w:val="16"/>
                <w:szCs w:val="16"/>
                <w:lang w:eastAsia="tr-TR"/>
              </w:rPr>
              <w:t xml:space="preserve">dolmasıyla oluşan su girintilerine </w:t>
            </w:r>
            <w:r w:rsidRPr="00FD17F1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haliç </w:t>
            </w:r>
            <w:r w:rsidRPr="00FD17F1">
              <w:rPr>
                <w:noProof w:val="0"/>
                <w:sz w:val="16"/>
                <w:szCs w:val="16"/>
                <w:lang w:eastAsia="tr-TR"/>
              </w:rPr>
              <w:t>denir.</w:t>
            </w:r>
          </w:p>
          <w:p w14:paraId="3CD034AC" w14:textId="77777777" w:rsidR="0037662E" w:rsidRDefault="0037662E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0E5DB53" w14:textId="3DA26180" w:rsidR="00FD17F1" w:rsidRPr="0037662E" w:rsidRDefault="0037662E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9834963" wp14:editId="70C1E713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0</wp:posOffset>
                  </wp:positionV>
                  <wp:extent cx="4215130" cy="278892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13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7F1" w:rsidRPr="0037662E">
              <w:rPr>
                <w:noProof w:val="0"/>
                <w:sz w:val="16"/>
                <w:szCs w:val="16"/>
                <w:lang w:eastAsia="tr-TR"/>
              </w:rPr>
              <w:t xml:space="preserve">• Çevresine göre alçakta bulunan alanlara </w:t>
            </w:r>
            <w:r w:rsidR="00FD17F1" w:rsidRPr="0037662E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kapalı çukur</w:t>
            </w:r>
            <w:r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r w:rsidR="00FD17F1" w:rsidRPr="0037662E">
              <w:rPr>
                <w:noProof w:val="0"/>
                <w:sz w:val="16"/>
                <w:szCs w:val="16"/>
                <w:lang w:eastAsia="tr-TR"/>
              </w:rPr>
              <w:t>denir.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FD17F1" w:rsidRPr="0037662E">
              <w:rPr>
                <w:noProof w:val="0"/>
                <w:sz w:val="16"/>
                <w:szCs w:val="16"/>
                <w:lang w:eastAsia="tr-TR"/>
              </w:rPr>
              <w:t>İçeriye dönük ok işaretleri ile gösterilir.</w:t>
            </w:r>
          </w:p>
          <w:p w14:paraId="73BE8CD7" w14:textId="77777777" w:rsidR="0037662E" w:rsidRDefault="0037662E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5663F44" w14:textId="0118873A" w:rsidR="00FD17F1" w:rsidRPr="0037662E" w:rsidRDefault="00FD17F1" w:rsidP="0037662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37662E">
              <w:rPr>
                <w:noProof w:val="0"/>
                <w:sz w:val="16"/>
                <w:szCs w:val="16"/>
                <w:lang w:eastAsia="tr-TR"/>
              </w:rPr>
              <w:t>• Eş yükselti eğrilerinin deniz kenarında birbirine çok yakın çizildiği yerde</w:t>
            </w:r>
            <w:r w:rsidR="0037662E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7662E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falez </w:t>
            </w:r>
            <w:r w:rsidRPr="0037662E">
              <w:rPr>
                <w:noProof w:val="0"/>
                <w:sz w:val="16"/>
                <w:szCs w:val="16"/>
                <w:lang w:eastAsia="tr-TR"/>
              </w:rPr>
              <w:t>adı verilen uçurumlar yer alır. Falezlerin olduğu kıyılarda</w:t>
            </w:r>
            <w:r w:rsidR="0037662E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7662E">
              <w:rPr>
                <w:noProof w:val="0"/>
                <w:sz w:val="16"/>
                <w:szCs w:val="16"/>
                <w:lang w:eastAsia="tr-TR"/>
              </w:rPr>
              <w:t>denizin derinliği fazladır. Bu alanlarda genellikle kıta sahanlığı dardır</w:t>
            </w:r>
            <w:r w:rsidR="0037662E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0A47F975" w14:textId="77777777" w:rsidR="00FD17F1" w:rsidRDefault="00FD17F1" w:rsidP="00FD17F1">
            <w:pPr>
              <w:spacing w:before="20" w:after="20"/>
              <w:ind w:right="72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3F7C173E" w14:textId="771414D2" w:rsidR="00FD17F1" w:rsidRDefault="00FD17F1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37662E">
              <w:rPr>
                <w:noProof w:val="0"/>
                <w:sz w:val="16"/>
                <w:szCs w:val="16"/>
                <w:lang w:eastAsia="tr-TR"/>
              </w:rPr>
              <w:t xml:space="preserve">• Çevresine göre alçakta kalmış düzlüklere </w:t>
            </w:r>
            <w:r w:rsidRPr="0037662E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ova </w:t>
            </w:r>
            <w:r w:rsidRPr="0037662E">
              <w:rPr>
                <w:noProof w:val="0"/>
                <w:sz w:val="16"/>
                <w:szCs w:val="16"/>
                <w:lang w:eastAsia="tr-TR"/>
              </w:rPr>
              <w:t>denir. Ovalarda izohips çizgileri</w:t>
            </w:r>
            <w:r w:rsidR="0037662E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7662E">
              <w:rPr>
                <w:noProof w:val="0"/>
                <w:sz w:val="16"/>
                <w:szCs w:val="16"/>
                <w:lang w:eastAsia="tr-TR"/>
              </w:rPr>
              <w:t>oldukça seyrektir.</w:t>
            </w:r>
          </w:p>
          <w:p w14:paraId="586FAB42" w14:textId="77777777" w:rsidR="0037662E" w:rsidRPr="0037662E" w:rsidRDefault="0037662E" w:rsidP="00FD17F1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1C7C22F" w14:textId="05F88A81" w:rsidR="00FD17F1" w:rsidRPr="0037662E" w:rsidRDefault="00FD17F1" w:rsidP="0037662E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37662E">
              <w:rPr>
                <w:noProof w:val="0"/>
                <w:sz w:val="16"/>
                <w:szCs w:val="16"/>
                <w:lang w:eastAsia="tr-TR"/>
              </w:rPr>
              <w:t>• Akarsular tarafından derin vadilerle parçalanmış, çevresine göre yüksekte</w:t>
            </w:r>
            <w:r w:rsidR="0037662E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7662E">
              <w:rPr>
                <w:noProof w:val="0"/>
                <w:sz w:val="16"/>
                <w:szCs w:val="16"/>
                <w:lang w:eastAsia="tr-TR"/>
              </w:rPr>
              <w:t xml:space="preserve">kalan düzlüklere </w:t>
            </w:r>
            <w:r w:rsidRPr="0037662E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plato </w:t>
            </w:r>
            <w:r w:rsidRPr="0037662E">
              <w:rPr>
                <w:noProof w:val="0"/>
                <w:sz w:val="16"/>
                <w:szCs w:val="16"/>
                <w:lang w:eastAsia="tr-TR"/>
              </w:rPr>
              <w:t>denir</w:t>
            </w:r>
            <w:r w:rsidR="0037662E">
              <w:rPr>
                <w:noProof w:val="0"/>
                <w:sz w:val="16"/>
                <w:szCs w:val="16"/>
                <w:lang w:eastAsia="tr-TR"/>
              </w:rPr>
              <w:t>.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77ED70CD" w:rsidR="00DC06C5" w:rsidRDefault="00E866A4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İzohips haritalarında eğrilerin sıklaştığı alanlarda ilgili ne söylersiniz?</w:t>
            </w:r>
          </w:p>
          <w:p w14:paraId="5B50A82F" w14:textId="6AD6B59D" w:rsidR="00E866A4" w:rsidRPr="00E866A4" w:rsidRDefault="00E866A4" w:rsidP="00E866A4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rPr>
                <w:sz w:val="16"/>
                <w:szCs w:val="16"/>
              </w:rPr>
            </w:pPr>
            <w:r w:rsidRPr="00E866A4">
              <w:rPr>
                <w:sz w:val="16"/>
                <w:szCs w:val="16"/>
              </w:rPr>
              <w:t>Akarsular tarafından derin vadilerle parçalanmış, çevresine göre yüksekte kalan</w:t>
            </w:r>
            <w:r>
              <w:rPr>
                <w:sz w:val="16"/>
                <w:szCs w:val="16"/>
              </w:rPr>
              <w:t xml:space="preserve"> </w:t>
            </w:r>
            <w:r w:rsidRPr="00E866A4">
              <w:rPr>
                <w:sz w:val="16"/>
                <w:szCs w:val="16"/>
              </w:rPr>
              <w:t>düzlüklere</w:t>
            </w:r>
            <w:r>
              <w:rPr>
                <w:sz w:val="16"/>
                <w:szCs w:val="16"/>
              </w:rPr>
              <w:t xml:space="preserve"> </w:t>
            </w:r>
            <w:r w:rsidRPr="00E866A4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 xml:space="preserve"> </w:t>
            </w:r>
            <w:r w:rsidRPr="00E866A4">
              <w:rPr>
                <w:sz w:val="16"/>
                <w:szCs w:val="16"/>
              </w:rPr>
              <w:t>denir.</w:t>
            </w:r>
          </w:p>
          <w:p w14:paraId="6EB25C52" w14:textId="62BA7B6C" w:rsidR="00E866A4" w:rsidRDefault="00E866A4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E866A4">
              <w:rPr>
                <w:sz w:val="16"/>
                <w:szCs w:val="16"/>
              </w:rPr>
              <w:t>E</w:t>
            </w:r>
            <w:r w:rsidRPr="00E866A4">
              <w:rPr>
                <w:sz w:val="16"/>
                <w:szCs w:val="16"/>
              </w:rPr>
              <w:t>kuidistans</w:t>
            </w:r>
            <w:r>
              <w:rPr>
                <w:sz w:val="16"/>
                <w:szCs w:val="16"/>
              </w:rPr>
              <w:t xml:space="preserve"> nedir?</w:t>
            </w:r>
          </w:p>
          <w:p w14:paraId="271DBF1E" w14:textId="15794C3C" w:rsidR="00E866A4" w:rsidRDefault="003E4795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İzohips haritalarında kapalı çukurlar nasıl gösterilir?</w:t>
            </w:r>
          </w:p>
          <w:p w14:paraId="119FB56E" w14:textId="36FFEFD7" w:rsidR="000112FF" w:rsidRPr="000112FF" w:rsidRDefault="003E4795" w:rsidP="000112FF">
            <w:pPr>
              <w:pStyle w:val="ListeParagraf"/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rPr>
                <w:sz w:val="16"/>
                <w:szCs w:val="16"/>
              </w:rPr>
            </w:pPr>
            <w:r w:rsidRPr="000112FF">
              <w:rPr>
                <w:sz w:val="16"/>
                <w:szCs w:val="16"/>
              </w:rPr>
              <w:t>Aşağı</w:t>
            </w:r>
            <w:r w:rsidRPr="000112FF">
              <w:rPr>
                <w:sz w:val="16"/>
                <w:szCs w:val="16"/>
              </w:rPr>
              <w:t>daki izohips haritasında aşağıdaki yer şekillerinden hangisi yoktur?</w:t>
            </w:r>
            <w:r w:rsidR="00DC06C5" w:rsidRPr="000112FF">
              <w:rPr>
                <w:sz w:val="16"/>
                <w:szCs w:val="16"/>
              </w:rPr>
              <w:t xml:space="preserve"> </w:t>
            </w:r>
          </w:p>
          <w:p w14:paraId="521A8F28" w14:textId="7C2AD0F8" w:rsidR="00DC06C5" w:rsidRPr="000112FF" w:rsidRDefault="00DC06C5" w:rsidP="000112FF">
            <w:pPr>
              <w:pStyle w:val="ListeParagraf"/>
              <w:tabs>
                <w:tab w:val="left" w:pos="252"/>
              </w:tabs>
              <w:spacing w:before="20" w:after="20"/>
              <w:ind w:left="360"/>
              <w:rPr>
                <w:sz w:val="16"/>
                <w:szCs w:val="16"/>
              </w:rPr>
            </w:pPr>
            <w:r w:rsidRPr="000112FF">
              <w:rPr>
                <w:sz w:val="16"/>
                <w:szCs w:val="16"/>
              </w:rPr>
              <w:t xml:space="preserve"> </w:t>
            </w:r>
          </w:p>
          <w:p w14:paraId="0AB874D1" w14:textId="61663A8F" w:rsidR="000112FF" w:rsidRDefault="003E4795" w:rsidP="000112FF">
            <w:pPr>
              <w:tabs>
                <w:tab w:val="left" w:pos="252"/>
              </w:tabs>
              <w:spacing w:before="20" w:after="20"/>
              <w:rPr>
                <w:rFonts w:ascii="Comic Sans MS" w:hAnsi="Comic Sans MS"/>
                <w:sz w:val="16"/>
                <w:szCs w:val="16"/>
              </w:rPr>
            </w:pPr>
            <w:r w:rsidRPr="003E4795">
              <w:rPr>
                <w:rFonts w:ascii="Comic Sans MS" w:hAnsi="Comic Sans MS"/>
                <w:sz w:val="16"/>
                <w:szCs w:val="16"/>
              </w:rPr>
              <w:drawing>
                <wp:inline distT="0" distB="0" distL="0" distR="0" wp14:anchorId="3C8D06C1" wp14:editId="161D469E">
                  <wp:extent cx="1881505" cy="1187037"/>
                  <wp:effectExtent l="0" t="0" r="4445" b="0"/>
                  <wp:docPr id="5122" name="Picture 2" descr="C:\Documents and Settings\Administrator\Desktop\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Documents and Settings\Administrator\Desktop\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90" cy="1190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3CC39F" w14:textId="77777777" w:rsidR="003E4795" w:rsidRPr="003E4795" w:rsidRDefault="003E4795" w:rsidP="003E4795">
            <w:pPr>
              <w:tabs>
                <w:tab w:val="left" w:pos="252"/>
              </w:tabs>
              <w:spacing w:before="20" w:after="20"/>
              <w:rPr>
                <w:sz w:val="16"/>
                <w:szCs w:val="16"/>
              </w:rPr>
            </w:pPr>
            <w:r w:rsidRPr="003E4795">
              <w:rPr>
                <w:sz w:val="16"/>
                <w:szCs w:val="16"/>
              </w:rPr>
              <w:t xml:space="preserve">A) Vadi </w:t>
            </w:r>
            <w:r w:rsidRPr="003E4795">
              <w:rPr>
                <w:sz w:val="16"/>
                <w:szCs w:val="16"/>
              </w:rPr>
              <w:tab/>
            </w:r>
            <w:r w:rsidRPr="003E4795">
              <w:rPr>
                <w:sz w:val="16"/>
                <w:szCs w:val="16"/>
              </w:rPr>
              <w:tab/>
            </w:r>
            <w:r w:rsidRPr="003E4795">
              <w:rPr>
                <w:sz w:val="16"/>
                <w:szCs w:val="16"/>
              </w:rPr>
              <w:tab/>
              <w:t xml:space="preserve">B) Tepe </w:t>
            </w:r>
            <w:r w:rsidRPr="003E4795">
              <w:rPr>
                <w:sz w:val="16"/>
                <w:szCs w:val="16"/>
              </w:rPr>
              <w:tab/>
            </w:r>
            <w:r w:rsidRPr="003E4795">
              <w:rPr>
                <w:sz w:val="16"/>
                <w:szCs w:val="16"/>
              </w:rPr>
              <w:tab/>
            </w:r>
            <w:r w:rsidRPr="003E4795">
              <w:rPr>
                <w:sz w:val="16"/>
                <w:szCs w:val="16"/>
              </w:rPr>
              <w:tab/>
              <w:t>C) Falez</w:t>
            </w:r>
          </w:p>
          <w:p w14:paraId="5FF2E033" w14:textId="4D133152" w:rsidR="003E4795" w:rsidRPr="00AF11E0" w:rsidRDefault="003E4795" w:rsidP="003E4795">
            <w:pPr>
              <w:tabs>
                <w:tab w:val="left" w:pos="252"/>
              </w:tabs>
              <w:spacing w:before="20" w:after="20"/>
              <w:rPr>
                <w:rFonts w:ascii="Comic Sans MS" w:hAnsi="Comic Sans MS"/>
                <w:sz w:val="16"/>
                <w:szCs w:val="16"/>
              </w:rPr>
            </w:pPr>
            <w:r w:rsidRPr="003E4795">
              <w:rPr>
                <w:sz w:val="16"/>
                <w:szCs w:val="16"/>
              </w:rPr>
              <w:t xml:space="preserve">D) Çukur </w:t>
            </w:r>
            <w:r w:rsidRPr="003E4795">
              <w:rPr>
                <w:sz w:val="16"/>
                <w:szCs w:val="16"/>
              </w:rPr>
              <w:tab/>
            </w:r>
            <w:r w:rsidRPr="003E4795">
              <w:rPr>
                <w:sz w:val="16"/>
                <w:szCs w:val="16"/>
              </w:rPr>
              <w:tab/>
            </w:r>
            <w:r w:rsidRPr="003E4795">
              <w:rPr>
                <w:sz w:val="16"/>
                <w:szCs w:val="16"/>
              </w:rPr>
              <w:tab/>
              <w:t>E) Boyun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Lora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112FF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7662E"/>
    <w:rsid w:val="00382A41"/>
    <w:rsid w:val="0038690E"/>
    <w:rsid w:val="003A46E3"/>
    <w:rsid w:val="003A7001"/>
    <w:rsid w:val="003D0C4F"/>
    <w:rsid w:val="003D2719"/>
    <w:rsid w:val="003E4795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B7CC8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2333C"/>
    <w:rsid w:val="00E51B77"/>
    <w:rsid w:val="00E53461"/>
    <w:rsid w:val="00E53B24"/>
    <w:rsid w:val="00E64932"/>
    <w:rsid w:val="00E76A2D"/>
    <w:rsid w:val="00E866A4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D17F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01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İzohips Yöntemi Günlük Plan</vt:lpstr>
    </vt:vector>
  </TitlesOfParts>
  <Company>cografyahocasi.com</Company>
  <LinksUpToDate>false</LinksUpToDate>
  <CharactersWithSpaces>5282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İzohips Yöntemi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3</cp:revision>
  <cp:lastPrinted>2009-01-06T22:36:00Z</cp:lastPrinted>
  <dcterms:created xsi:type="dcterms:W3CDTF">2021-02-04T16:45:00Z</dcterms:created>
  <dcterms:modified xsi:type="dcterms:W3CDTF">2021-02-04T17:04:00Z</dcterms:modified>
  <cp:category>cografyahocasi.com</cp:category>
  <cp:contentStatus>cografyahocasi.com</cp:contentStatus>
</cp:coreProperties>
</file>