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CD0F918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7C607D">
        <w:rPr>
          <w:rFonts w:ascii="Times New Roman" w:hAnsi="Times New Roman" w:cs="Times New Roman"/>
          <w:noProof/>
          <w:sz w:val="20"/>
          <w:szCs w:val="20"/>
        </w:rPr>
        <w:t>1</w:t>
      </w:r>
      <w:r w:rsidR="00716B23">
        <w:rPr>
          <w:rFonts w:ascii="Times New Roman" w:hAnsi="Times New Roman" w:cs="Times New Roman"/>
          <w:noProof/>
          <w:sz w:val="20"/>
          <w:szCs w:val="20"/>
        </w:rPr>
        <w:t>1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58467E49" w:rsidR="00867C9F" w:rsidRPr="009246A0" w:rsidRDefault="002E5016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8D288F"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28CFC169" w:rsidR="00867C9F" w:rsidRPr="009246A0" w:rsidRDefault="002A5A28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Seçmeli </w:t>
            </w:r>
            <w:r w:rsidR="006B1320"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55EC6D22" w:rsidR="00867C9F" w:rsidRPr="009246A0" w:rsidRDefault="002E2A6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17-</w:t>
            </w:r>
            <w:r w:rsidR="00272F36">
              <w:rPr>
                <w:b/>
                <w:bCs/>
                <w:sz w:val="16"/>
                <w:szCs w:val="16"/>
              </w:rPr>
              <w:t>21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1</w:t>
            </w:r>
            <w:r w:rsidR="00272F36">
              <w:rPr>
                <w:b/>
                <w:bCs/>
                <w:sz w:val="16"/>
                <w:szCs w:val="16"/>
              </w:rPr>
              <w:t>0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2AEBAB6B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A5A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3F91449C" w:rsidR="00512CA1" w:rsidRPr="009246A0" w:rsidRDefault="002E2A62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6454E656" w:rsidR="006E7D80" w:rsidRPr="009246A0" w:rsidRDefault="00D2073E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Beşeri </w:t>
            </w:r>
            <w:r w:rsidR="00F575C9">
              <w:rPr>
                <w:bCs/>
                <w:sz w:val="16"/>
                <w:szCs w:val="16"/>
              </w:rPr>
              <w:t>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0259B185" w:rsidR="00A35428" w:rsidRPr="00E51B77" w:rsidRDefault="00D2073E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TÜRKİYE NÜFUS</w:t>
            </w:r>
            <w:r w:rsidR="00240268">
              <w:rPr>
                <w:bCs/>
                <w:sz w:val="16"/>
                <w:szCs w:val="16"/>
              </w:rPr>
              <w:t>UNUN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240268">
              <w:rPr>
                <w:bCs/>
                <w:sz w:val="16"/>
                <w:szCs w:val="16"/>
              </w:rPr>
              <w:t>GELECEĞİ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47D48D67" w:rsidR="00A35428" w:rsidRPr="00240268" w:rsidRDefault="00240268" w:rsidP="00EB69C0">
            <w:pPr>
              <w:rPr>
                <w:sz w:val="16"/>
                <w:szCs w:val="16"/>
              </w:rPr>
            </w:pPr>
            <w:r w:rsidRPr="00240268">
              <w:rPr>
                <w:sz w:val="16"/>
                <w:szCs w:val="16"/>
              </w:rPr>
              <w:t>11.2.3. Türkiye’nin nüfus projeksiyonlarına dayalı senaryolar oluşturur.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68A29EE0" w:rsidR="00A103EB" w:rsidRPr="002A5A28" w:rsidRDefault="00D2073E" w:rsidP="00D2073E">
            <w:pPr>
              <w:rPr>
                <w:sz w:val="16"/>
                <w:szCs w:val="16"/>
              </w:rPr>
            </w:pPr>
            <w:r w:rsidRPr="00D2073E">
              <w:rPr>
                <w:sz w:val="16"/>
                <w:szCs w:val="16"/>
              </w:rPr>
              <w:t>Tablo, grafik ve diyagram hazırlama ve yorumlama</w:t>
            </w:r>
            <w:r>
              <w:rPr>
                <w:sz w:val="16"/>
                <w:szCs w:val="16"/>
              </w:rPr>
              <w:t xml:space="preserve">, </w:t>
            </w:r>
            <w:r w:rsidRPr="00D2073E">
              <w:rPr>
                <w:sz w:val="16"/>
                <w:szCs w:val="16"/>
              </w:rPr>
              <w:t>Zamanı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1B2D67B4" w:rsidR="00A35428" w:rsidRPr="00240268" w:rsidRDefault="00240268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240268">
              <w:rPr>
                <w:sz w:val="16"/>
                <w:szCs w:val="16"/>
              </w:rPr>
              <w:t>Farklı nüfus senaryolarına göre Türkiye’nin nüfus yapısına ilişkin çıkarımlara yer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2447C722" w:rsidR="006E0876" w:rsidRPr="009246A0" w:rsidRDefault="002B74E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0B3C328C" w14:textId="2D31AF69" w:rsidR="00D2217F" w:rsidRPr="003F5768" w:rsidRDefault="00D2217F" w:rsidP="00D2217F">
            <w:pPr>
              <w:pStyle w:val="Pa25"/>
              <w:rPr>
                <w:rFonts w:ascii="Times New Roman" w:hAnsi="Times New Roman"/>
                <w:b/>
                <w:bCs/>
                <w:color w:val="211D1E"/>
                <w:sz w:val="23"/>
                <w:szCs w:val="23"/>
              </w:rPr>
            </w:pPr>
            <w:bookmarkStart w:id="0" w:name="U6K2"/>
            <w:bookmarkEnd w:id="0"/>
          </w:p>
          <w:p w14:paraId="0116744F" w14:textId="36F73A26" w:rsidR="00D2217F" w:rsidRPr="003F5768" w:rsidRDefault="003F5768" w:rsidP="00D2217F">
            <w:pPr>
              <w:pStyle w:val="Pa25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F5768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TÜRKİYE’NİN NÜFUS PROJEKSİYONLARI</w:t>
            </w:r>
            <w:r w:rsidR="00D2217F" w:rsidRPr="003F5768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14:paraId="126087D1" w14:textId="03F9E6F7" w:rsidR="00D2217F" w:rsidRPr="003F5768" w:rsidRDefault="00EF3421" w:rsidP="003F576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648AA4C" wp14:editId="44FB8916">
                  <wp:simplePos x="0" y="0"/>
                  <wp:positionH relativeFrom="column">
                    <wp:posOffset>3032125</wp:posOffset>
                  </wp:positionH>
                  <wp:positionV relativeFrom="paragraph">
                    <wp:posOffset>33020</wp:posOffset>
                  </wp:positionV>
                  <wp:extent cx="3350260" cy="2396490"/>
                  <wp:effectExtent l="0" t="0" r="2540" b="381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0260" cy="239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Dünya genelinde olduğu gibi ülkemizde de planlı bir kalkınma için nüfusun geleceğinin bilinmesi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gerekmektedir. Bu amaçla nüfusun artış hızı ve niteliklerindeki değişimlere bakılarak gelecekteki durumu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ortaya konulmaya çalışılmaktadır. Bu çalışmalar, nüfus projeksiyonları olarak adlandırılmaktadır.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Ülkemizde nüfus projeksiyonlarının sonuncusu 2012 yılında “Adrese Dayalı Nüfus Kayıt </w:t>
            </w:r>
            <w:proofErr w:type="spellStart"/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Sistemi”ne</w:t>
            </w:r>
            <w:proofErr w:type="spellEnd"/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göre yapılmıştır. Bu çalışmada doğum ve ölüm verileri ile göç olgusu değerlendirilmiştir. 2012’deki nüfus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projeksiyonunda ilk kez il düzeyinde nüfus projeksiyonları üretilmiş ve 2075 yılına kadar ülkemizde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nüfusla ilgili beklenen değişimler ele alınmıştır.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Nüfus projeksiyonlarına göre 2012’de binde 12,7 olan yıllık nüfus artış hızı, 2023’te binde 8,6’ya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düşecektir. Buna göre cumhuriyetin kuruluşunun yüzüncü yılı olan 2023’e kadar geçen sürede nüfus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artış hızı azalacak fakat nüfus artmaya devam edecek, 2023’te Türkiye nüfusu 84.247.088’e ulaşacaktır.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2023’ten sonraki süreçte 2050’ye kadar, Türkiye’nin nüfus artış hızı azalmaya, nüfusu artmaya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devam edecektir. 2050’de Türkiye’nin nüfus artış hızı eksi değere düşecek ve bu tarihte 93.475.575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olan Türkiye nüfusu, bu tarihten sonra azalmaya başlayacaktır. 2075 yılında ise Türkiye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nüfusu 89.172.088’e gerileyecektir.</w:t>
            </w:r>
          </w:p>
          <w:p w14:paraId="6DCE6B45" w14:textId="18B8B530" w:rsidR="003F5768" w:rsidRDefault="003F5768" w:rsidP="003F5768">
            <w:pPr>
              <w:autoSpaceDE w:val="0"/>
              <w:autoSpaceDN w:val="0"/>
              <w:adjustRightInd w:val="0"/>
              <w:spacing w:line="220" w:lineRule="exact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69AA8E5" w14:textId="681E931B" w:rsidR="00EF3421" w:rsidRPr="003F5768" w:rsidRDefault="00EF3421" w:rsidP="003F5768">
            <w:pPr>
              <w:autoSpaceDE w:val="0"/>
              <w:autoSpaceDN w:val="0"/>
              <w:adjustRightInd w:val="0"/>
              <w:spacing w:line="220" w:lineRule="exact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7AD64B50" w14:textId="32680246" w:rsidR="003F5768" w:rsidRPr="003F5768" w:rsidRDefault="003F5768" w:rsidP="003F576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2012 ile 2023 yılları arasında illerin nüfusunda da önemli değişimler beklenmektedir. Bu süre içinde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60 ilin nüfusu artarken 21 ilin nüfusu azalacaktır. Nüfusu en fazla olan İstanbul, Ankara, İzmir ve Bursa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illerinin nüfus sıralamasında bir değişiklik olmayacak; İstanbul’un nüfusu 2023 yılında 16,6 milyon,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Ankara’nın nüfusu 5,9 milyon, İzmir’in nüfusu 4,4 milyon, Bursa’nın nüfusu 3,1 milyona yükselecektir.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2012’de en büyük beşinci il olan Adana’nın yerini 2,6 milyonluk nüfusu ile Antalya alacaktır</w:t>
            </w:r>
            <w:r w:rsidR="00EF3421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41B2988E" w14:textId="514B9292" w:rsidR="003F5768" w:rsidRDefault="00EF3421" w:rsidP="003F5768">
            <w:pPr>
              <w:autoSpaceDE w:val="0"/>
              <w:autoSpaceDN w:val="0"/>
              <w:adjustRightInd w:val="0"/>
              <w:spacing w:line="220" w:lineRule="exact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80A66CC" wp14:editId="60A785EA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187960</wp:posOffset>
                  </wp:positionV>
                  <wp:extent cx="5851525" cy="27876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1525" cy="278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D8160D" w14:textId="28B20A8D" w:rsidR="00EF3421" w:rsidRDefault="00EF3421" w:rsidP="003F5768">
            <w:pPr>
              <w:autoSpaceDE w:val="0"/>
              <w:autoSpaceDN w:val="0"/>
              <w:adjustRightInd w:val="0"/>
              <w:spacing w:line="220" w:lineRule="exact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21791A9" w14:textId="7DD9D77A" w:rsidR="00EF3421" w:rsidRPr="003F5768" w:rsidRDefault="00EF3421" w:rsidP="003F5768">
            <w:pPr>
              <w:autoSpaceDE w:val="0"/>
              <w:autoSpaceDN w:val="0"/>
              <w:adjustRightInd w:val="0"/>
              <w:spacing w:line="220" w:lineRule="exact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3186754" w14:textId="77777777" w:rsidR="00EF3421" w:rsidRDefault="00EF3421" w:rsidP="003F576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2DBDE5F" w14:textId="77777777" w:rsidR="00EF3421" w:rsidRDefault="00EF3421" w:rsidP="003F576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6D69129B" w14:textId="77777777" w:rsidR="00EF3421" w:rsidRDefault="00EF3421" w:rsidP="003F576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3D0E0599" w14:textId="58A4A046" w:rsidR="00EF3421" w:rsidRPr="00EF3421" w:rsidRDefault="00EF3421" w:rsidP="00EF3421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29710C0" wp14:editId="70781A39">
                  <wp:simplePos x="0" y="0"/>
                  <wp:positionH relativeFrom="margin">
                    <wp:posOffset>3307715</wp:posOffset>
                  </wp:positionH>
                  <wp:positionV relativeFrom="margin">
                    <wp:posOffset>3937000</wp:posOffset>
                  </wp:positionV>
                  <wp:extent cx="3168650" cy="2120900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0321F2C" wp14:editId="2AEA677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685800</wp:posOffset>
                  </wp:positionV>
                  <wp:extent cx="6012815" cy="3251200"/>
                  <wp:effectExtent l="0" t="0" r="6985" b="635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815" cy="325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2012 ile 2023 yılları arasında ülkemizde nüfusun yaş gruplarına göre dağılışı da değişecektir.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2012’de 0-14 yaş arasındaki nüfus %24,9 iken bu değer 2023’te %21,2’ye düşecektir. Buna göre ülkemizde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çocuk nüfus oranı azalacaktır. 2012’de 15- 64 yaş arasındaki nüfus %67,6 iken bu değer 2023’te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%68,6’ya yükselecektir. Aynı şekilde belirtilen zaman içinde yaşlı nüfus oranı artacaktır. 2012’de 64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ve daha yüksek yaş grubunda bulunanların oranı %7,5 iken bu değer 2023’te %10,2’ye yükselecektir.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Buna göre ülkemizin nüfus piramidinde de önemli değişiklikler gerçekleşecek ve nüfus piramidimiz bir</w:t>
            </w:r>
            <w:r w:rsid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="003F5768"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çana benzeyecektir.</w:t>
            </w:r>
          </w:p>
          <w:p w14:paraId="0DDB01C4" w14:textId="6700D9F6" w:rsidR="003F5768" w:rsidRPr="003F5768" w:rsidRDefault="003F5768" w:rsidP="003F576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Ülkemizdeki bireylerin yaşları, küçükten büyüğe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doğru sıralandığında tam ortada kalan bireyin yaşına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ortanca yaş denilmektedir. Türkiye nüfusunun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ortanca yaşı 2012’de 30,1 iken bu değer, 2075’te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47,4’e çıkacaktır. 2012 yılında erkeklerde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29,5 olan ortanca yaş, 2075’te 46’ya; kadınlarda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ise 2012 yılında 30,6 olan ortanca yaş, 2075’te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48,7’ye ulaşacaktır.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2023 yılında Türkiye nüfusunun yarısı 34 yaşın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üzerinde olacaktır.</w:t>
            </w:r>
          </w:p>
          <w:p w14:paraId="7FED6713" w14:textId="4561FD22" w:rsidR="003F5768" w:rsidRPr="003F5768" w:rsidRDefault="003F5768" w:rsidP="003F576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2012 ile 2075 yılları arasında geçen süre içinde nüfusun cinsiyete göre dağılımı da değişecektir.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2012’de nüfusun %50,2’si erkek, %49,8’i kadın iken 2075’te nüfusun yaklaşık %49,5’ini erkek, %50,5’ini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ise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kadın nüfusu oluşturacaktır.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Ülkemizde bu süre içinde göçler devam edecektir. Karadeniz ve Doğu Anadolu, yoğun göç veren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kesimler olacaktır. Batı göç almaya devam edecek ve ülkemizdeki nüfusun büyük bir kısmı, batıda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toplanacaktır.</w:t>
            </w:r>
          </w:p>
          <w:p w14:paraId="3E7259CA" w14:textId="2345196F" w:rsidR="003F5768" w:rsidRPr="003F5768" w:rsidRDefault="003F5768" w:rsidP="003F5768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2023 yılında Şanlıurfa, çocuk nüfusun en çok olduğu il olacaktır. Bu ilde çocuk nüfus oranının %38,6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olması beklenmektedir. Bu illeri sırasıyla Ağrı, Şırnak, Muş ve Siirt izleyecektir.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Türkiye nüfusu için gelecekte beklenen durumlardan biri de dünya nüfus sıralaması içindeki durumunun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değişmesidir. Birleşmiş Milletler verilerine göre 2016 yılında dünya nüfusu yaklaşık 7,3 milyardır.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Aynı yılda Türkiye’nin nüfusu 79,8 milyondur. Buna göre Türkiye, dünya nüfusunun yaklaşık yüzde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1,1’ini oluşturmaktadır ve Türkiye, nüfus bakımından dünyanın en büyük 19. ülkesidir. Dünya nüfus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senaryosuna göre 2050 yılında dünya nüfusu 9 milyar 306, Türkiye nüfusu ise 93,4 milyon (Dünya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color w:val="000000"/>
                <w:sz w:val="16"/>
                <w:szCs w:val="16"/>
                <w:lang w:eastAsia="tr-TR"/>
              </w:rPr>
              <w:t>nüfusunun %1’i) olacaktır. Türkiye bu yılda nüfus sıralaması bakımından 20. sırada yer alacaktır.</w:t>
            </w:r>
          </w:p>
          <w:p w14:paraId="25C07B1A" w14:textId="77777777" w:rsidR="00EF3421" w:rsidRDefault="00EF3421" w:rsidP="003F5768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22"/>
                <w:szCs w:val="22"/>
                <w:lang w:eastAsia="tr-TR"/>
              </w:rPr>
            </w:pPr>
          </w:p>
          <w:p w14:paraId="260D2F5F" w14:textId="39B2A5FB" w:rsidR="00EF3421" w:rsidRPr="0037003E" w:rsidRDefault="003F5768" w:rsidP="003F5768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22"/>
                <w:szCs w:val="22"/>
                <w:lang w:eastAsia="tr-TR"/>
              </w:rPr>
            </w:pPr>
            <w:r w:rsidRPr="00EF3421">
              <w:rPr>
                <w:b/>
                <w:bCs/>
                <w:noProof w:val="0"/>
                <w:color w:val="FF0000"/>
                <w:sz w:val="22"/>
                <w:szCs w:val="22"/>
                <w:lang w:eastAsia="tr-TR"/>
              </w:rPr>
              <w:t>Türkiye Nüfus Projeksiyonlarında Üç Senaryo</w:t>
            </w:r>
          </w:p>
          <w:p w14:paraId="10A2CED9" w14:textId="4AC0D13F" w:rsidR="00EF3421" w:rsidRPr="0037003E" w:rsidRDefault="003F5768" w:rsidP="003F5768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EF3421">
              <w:rPr>
                <w:b/>
                <w:bCs/>
                <w:noProof w:val="0"/>
                <w:color w:val="0070C0"/>
                <w:sz w:val="20"/>
                <w:szCs w:val="20"/>
                <w:lang w:eastAsia="tr-TR"/>
              </w:rPr>
              <w:t>Senaryo 1 (Temel Senaryo</w:t>
            </w:r>
            <w:r w:rsidRPr="00EF3421">
              <w:rPr>
                <w:b/>
                <w:bCs/>
                <w:noProof w:val="0"/>
                <w:color w:val="0070C0"/>
                <w:sz w:val="16"/>
                <w:szCs w:val="16"/>
                <w:lang w:eastAsia="tr-TR"/>
              </w:rPr>
              <w:t xml:space="preserve">): </w:t>
            </w:r>
            <w:r w:rsidRPr="003F5768">
              <w:rPr>
                <w:noProof w:val="0"/>
                <w:sz w:val="16"/>
                <w:szCs w:val="16"/>
                <w:lang w:eastAsia="tr-TR"/>
              </w:rPr>
              <w:t>Toplam doğurganlık hızının doğal akışı içinde azalıp 2050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sz w:val="16"/>
                <w:szCs w:val="16"/>
                <w:lang w:eastAsia="tr-TR"/>
              </w:rPr>
              <w:t>yılında 1,65’e düştüğü ve 2050 yılından sonra artışa geçip 2075 yılında 1,85’e ulaştığı doğurganlık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sz w:val="16"/>
                <w:szCs w:val="16"/>
                <w:lang w:eastAsia="tr-TR"/>
              </w:rPr>
              <w:t>senaryosu.</w:t>
            </w:r>
          </w:p>
          <w:p w14:paraId="238A92AB" w14:textId="622828D0" w:rsidR="00EF3421" w:rsidRPr="0037003E" w:rsidRDefault="003F5768" w:rsidP="003F5768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EF3421">
              <w:rPr>
                <w:b/>
                <w:bCs/>
                <w:noProof w:val="0"/>
                <w:color w:val="0070C0"/>
                <w:sz w:val="20"/>
                <w:szCs w:val="20"/>
                <w:lang w:eastAsia="tr-TR"/>
              </w:rPr>
              <w:t>Senaryo 2:</w:t>
            </w:r>
            <w:r w:rsidRPr="003F576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  <w:r w:rsidRPr="003F5768">
              <w:rPr>
                <w:noProof w:val="0"/>
                <w:sz w:val="16"/>
                <w:szCs w:val="16"/>
                <w:lang w:eastAsia="tr-TR"/>
              </w:rPr>
              <w:t>Toplam doğurganlık hızının, 2020 yılında 2,11’e, 2050 yılında 2,5’e ulaşacağını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sz w:val="16"/>
                <w:szCs w:val="16"/>
                <w:lang w:eastAsia="tr-TR"/>
              </w:rPr>
              <w:t>ve 2075 yılına kadar sabit kalacağını varsayan kademeli artan doğurganlık senaryosu.</w:t>
            </w:r>
          </w:p>
          <w:p w14:paraId="7F5B8CA7" w14:textId="77777777" w:rsidR="003F5768" w:rsidRDefault="003F5768" w:rsidP="003F5768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EF3421">
              <w:rPr>
                <w:b/>
                <w:bCs/>
                <w:noProof w:val="0"/>
                <w:color w:val="0070C0"/>
                <w:sz w:val="20"/>
                <w:szCs w:val="20"/>
                <w:lang w:eastAsia="tr-TR"/>
              </w:rPr>
              <w:t xml:space="preserve">Senaryo 3: </w:t>
            </w:r>
            <w:r w:rsidRPr="003F5768">
              <w:rPr>
                <w:noProof w:val="0"/>
                <w:sz w:val="16"/>
                <w:szCs w:val="16"/>
                <w:lang w:eastAsia="tr-TR"/>
              </w:rPr>
              <w:t>Toplam doğurganlık hızının 2050 yılına kadar kademeli olarak 3’e ulaşacağını</w:t>
            </w:r>
            <w:r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3F5768">
              <w:rPr>
                <w:noProof w:val="0"/>
                <w:sz w:val="16"/>
                <w:szCs w:val="16"/>
                <w:lang w:eastAsia="tr-TR"/>
              </w:rPr>
              <w:t>ve 2075 yılına kadar sabit kalacağını varsayan artan doğurganlık senaryosu.</w:t>
            </w:r>
          </w:p>
          <w:p w14:paraId="34613C86" w14:textId="4CD415F7" w:rsidR="00EF3421" w:rsidRPr="003F5768" w:rsidRDefault="00EF3421" w:rsidP="003F5768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61A348CF" w:rsidR="00DC06C5" w:rsidRDefault="00811FEF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</w:t>
            </w:r>
            <w:r w:rsidR="00D55592">
              <w:rPr>
                <w:sz w:val="16"/>
                <w:szCs w:val="16"/>
              </w:rPr>
              <w:t>in gelecekteki nüfusu ile ilgili öngörüleriniz nelerdir?</w:t>
            </w:r>
          </w:p>
          <w:p w14:paraId="5BE34695" w14:textId="354023E2" w:rsidR="00DC06C5" w:rsidRDefault="00D55592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Nüfusun geleceği ile ilgili öngörülen 3 senaryodan hangisinin gerçekleşmesi olasıdır?</w:t>
            </w:r>
          </w:p>
          <w:p w14:paraId="3917B1A0" w14:textId="393F86FD" w:rsidR="00DC06C5" w:rsidRDefault="00D55592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Ülkemizin nüfusu ilk defa 100 milyonu kaç yılında geçecektir?</w:t>
            </w:r>
          </w:p>
          <w:p w14:paraId="1117147F" w14:textId="3BEAECD1" w:rsidR="00811FEF" w:rsidRPr="00811FEF" w:rsidRDefault="00D55592" w:rsidP="00811FEF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Ülkemizin nüfus artış hızının eksik değerlere hangi yılda düşeceği tahmin edilmektedir?</w:t>
            </w:r>
          </w:p>
          <w:p w14:paraId="5FF2E033" w14:textId="07255D29" w:rsidR="00DC06C5" w:rsidRPr="00526939" w:rsidRDefault="00DC06C5" w:rsidP="00526939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55592">
              <w:rPr>
                <w:sz w:val="16"/>
                <w:szCs w:val="16"/>
              </w:rPr>
              <w:t>Ortanca yaşın her geçen yıl yükselmesi neyi ifade etmektedir?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15964FAD" w:rsidR="00572AA7" w:rsidRPr="0037003E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37003E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PMBRJ+Lora-Bold">
    <w:altName w:val="PPMBRJ+Lora-Bold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KHAHZT+Lora-Regular">
    <w:altName w:val="KHAHZT+Lora-Regular"/>
    <w:panose1 w:val="00000000000000000000"/>
    <w:charset w:val="A2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32071"/>
    <w:rsid w:val="00041984"/>
    <w:rsid w:val="000436E2"/>
    <w:rsid w:val="0004468A"/>
    <w:rsid w:val="00053961"/>
    <w:rsid w:val="0005627C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1F3A"/>
    <w:rsid w:val="001E5F75"/>
    <w:rsid w:val="001F1866"/>
    <w:rsid w:val="001F6DB2"/>
    <w:rsid w:val="00207D7C"/>
    <w:rsid w:val="0021141B"/>
    <w:rsid w:val="00220CFD"/>
    <w:rsid w:val="0022684D"/>
    <w:rsid w:val="002325F3"/>
    <w:rsid w:val="00240268"/>
    <w:rsid w:val="00241AF3"/>
    <w:rsid w:val="00241F8A"/>
    <w:rsid w:val="002479BC"/>
    <w:rsid w:val="00261906"/>
    <w:rsid w:val="00270961"/>
    <w:rsid w:val="00272F36"/>
    <w:rsid w:val="0028393E"/>
    <w:rsid w:val="0029163F"/>
    <w:rsid w:val="00291ECB"/>
    <w:rsid w:val="002A5A28"/>
    <w:rsid w:val="002B244B"/>
    <w:rsid w:val="002B4263"/>
    <w:rsid w:val="002B61BE"/>
    <w:rsid w:val="002B74E2"/>
    <w:rsid w:val="002C0DBD"/>
    <w:rsid w:val="002C4388"/>
    <w:rsid w:val="002C5B32"/>
    <w:rsid w:val="002D0F14"/>
    <w:rsid w:val="002D415C"/>
    <w:rsid w:val="002D698E"/>
    <w:rsid w:val="002E2A62"/>
    <w:rsid w:val="002E5016"/>
    <w:rsid w:val="003200EA"/>
    <w:rsid w:val="00331EE2"/>
    <w:rsid w:val="003350C3"/>
    <w:rsid w:val="003369F1"/>
    <w:rsid w:val="00337C6D"/>
    <w:rsid w:val="00340AC1"/>
    <w:rsid w:val="00341115"/>
    <w:rsid w:val="00362823"/>
    <w:rsid w:val="0037003E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5768"/>
    <w:rsid w:val="003F7223"/>
    <w:rsid w:val="00404D70"/>
    <w:rsid w:val="0040667C"/>
    <w:rsid w:val="0040707E"/>
    <w:rsid w:val="0042184A"/>
    <w:rsid w:val="00454B7A"/>
    <w:rsid w:val="0046768C"/>
    <w:rsid w:val="00482EFE"/>
    <w:rsid w:val="004863D0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02E95"/>
    <w:rsid w:val="00510E40"/>
    <w:rsid w:val="00512CA1"/>
    <w:rsid w:val="005217C7"/>
    <w:rsid w:val="005227EE"/>
    <w:rsid w:val="00526136"/>
    <w:rsid w:val="00526939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2087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67100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07CF"/>
    <w:rsid w:val="006E0876"/>
    <w:rsid w:val="006E7D80"/>
    <w:rsid w:val="006F64A4"/>
    <w:rsid w:val="007028B0"/>
    <w:rsid w:val="00705FAD"/>
    <w:rsid w:val="00716B23"/>
    <w:rsid w:val="007307DC"/>
    <w:rsid w:val="00740E4C"/>
    <w:rsid w:val="00745A5C"/>
    <w:rsid w:val="00761238"/>
    <w:rsid w:val="00762FBF"/>
    <w:rsid w:val="007911A5"/>
    <w:rsid w:val="007C607D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11FEF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95"/>
    <w:rsid w:val="00920BF6"/>
    <w:rsid w:val="00922FD2"/>
    <w:rsid w:val="009246A0"/>
    <w:rsid w:val="009249E7"/>
    <w:rsid w:val="009340F0"/>
    <w:rsid w:val="009360DF"/>
    <w:rsid w:val="009418DB"/>
    <w:rsid w:val="009607C9"/>
    <w:rsid w:val="009738DC"/>
    <w:rsid w:val="00990197"/>
    <w:rsid w:val="0099636D"/>
    <w:rsid w:val="009A6347"/>
    <w:rsid w:val="009A715B"/>
    <w:rsid w:val="009C14D0"/>
    <w:rsid w:val="009C2887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261D8"/>
    <w:rsid w:val="00A35428"/>
    <w:rsid w:val="00A36557"/>
    <w:rsid w:val="00A3799F"/>
    <w:rsid w:val="00A425B5"/>
    <w:rsid w:val="00A6056B"/>
    <w:rsid w:val="00A6445A"/>
    <w:rsid w:val="00A66FDF"/>
    <w:rsid w:val="00A74778"/>
    <w:rsid w:val="00A85D5E"/>
    <w:rsid w:val="00A86A72"/>
    <w:rsid w:val="00A93607"/>
    <w:rsid w:val="00AA264F"/>
    <w:rsid w:val="00AB0813"/>
    <w:rsid w:val="00AC0CA4"/>
    <w:rsid w:val="00AC13C0"/>
    <w:rsid w:val="00AC4B1C"/>
    <w:rsid w:val="00AC5C8F"/>
    <w:rsid w:val="00AD6C69"/>
    <w:rsid w:val="00AF11E0"/>
    <w:rsid w:val="00AF1D5B"/>
    <w:rsid w:val="00AF3D83"/>
    <w:rsid w:val="00AF6A88"/>
    <w:rsid w:val="00AF777C"/>
    <w:rsid w:val="00B26779"/>
    <w:rsid w:val="00B4198C"/>
    <w:rsid w:val="00B5030C"/>
    <w:rsid w:val="00B5169F"/>
    <w:rsid w:val="00B5505B"/>
    <w:rsid w:val="00B67F88"/>
    <w:rsid w:val="00B76C7B"/>
    <w:rsid w:val="00B93621"/>
    <w:rsid w:val="00B95094"/>
    <w:rsid w:val="00BB6BC6"/>
    <w:rsid w:val="00BC1572"/>
    <w:rsid w:val="00BC2BCD"/>
    <w:rsid w:val="00BD26A7"/>
    <w:rsid w:val="00BE5C5D"/>
    <w:rsid w:val="00BE73AD"/>
    <w:rsid w:val="00BF785D"/>
    <w:rsid w:val="00C00910"/>
    <w:rsid w:val="00C13769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1D5D"/>
    <w:rsid w:val="00CD3B14"/>
    <w:rsid w:val="00CF01D0"/>
    <w:rsid w:val="00D2073E"/>
    <w:rsid w:val="00D2217F"/>
    <w:rsid w:val="00D301E2"/>
    <w:rsid w:val="00D313FD"/>
    <w:rsid w:val="00D31904"/>
    <w:rsid w:val="00D351A9"/>
    <w:rsid w:val="00D405E5"/>
    <w:rsid w:val="00D44D3A"/>
    <w:rsid w:val="00D50061"/>
    <w:rsid w:val="00D55592"/>
    <w:rsid w:val="00D56AC2"/>
    <w:rsid w:val="00D7443B"/>
    <w:rsid w:val="00D75D2B"/>
    <w:rsid w:val="00D770D9"/>
    <w:rsid w:val="00D83956"/>
    <w:rsid w:val="00D83F9A"/>
    <w:rsid w:val="00D92EDE"/>
    <w:rsid w:val="00D957DE"/>
    <w:rsid w:val="00DA3B97"/>
    <w:rsid w:val="00DA3ED7"/>
    <w:rsid w:val="00DA53AA"/>
    <w:rsid w:val="00DB5989"/>
    <w:rsid w:val="00DB7557"/>
    <w:rsid w:val="00DC06C5"/>
    <w:rsid w:val="00DC1D3A"/>
    <w:rsid w:val="00DD3BFC"/>
    <w:rsid w:val="00DD64AD"/>
    <w:rsid w:val="00E02CBB"/>
    <w:rsid w:val="00E161A0"/>
    <w:rsid w:val="00E51B77"/>
    <w:rsid w:val="00E53461"/>
    <w:rsid w:val="00E53B24"/>
    <w:rsid w:val="00E64932"/>
    <w:rsid w:val="00E739D3"/>
    <w:rsid w:val="00E76A2D"/>
    <w:rsid w:val="00E90300"/>
    <w:rsid w:val="00E90B2C"/>
    <w:rsid w:val="00E94304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EF3421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34A9"/>
    <w:rsid w:val="00F51B46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37A5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1E1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uiPriority w:val="22"/>
    <w:qFormat/>
    <w:rsid w:val="00502E95"/>
    <w:rPr>
      <w:b/>
      <w:bCs/>
    </w:rPr>
  </w:style>
  <w:style w:type="character" w:customStyle="1" w:styleId="Balk1Char">
    <w:name w:val="Başlık 1 Char"/>
    <w:basedOn w:val="VarsaylanParagrafYazTipi"/>
    <w:link w:val="Balk1"/>
    <w:rsid w:val="001E1F3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  <w:style w:type="paragraph" w:customStyle="1" w:styleId="Pa11">
    <w:name w:val="Pa11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13">
    <w:name w:val="A1+3"/>
    <w:uiPriority w:val="99"/>
    <w:rsid w:val="00A425B5"/>
    <w:rPr>
      <w:rFonts w:cs="PPMBRJ+Lora-Bold"/>
      <w:color w:val="221E1F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paragraph" w:customStyle="1" w:styleId="Pa25">
    <w:name w:val="Pa2+5"/>
    <w:basedOn w:val="Normal"/>
    <w:next w:val="Normal"/>
    <w:uiPriority w:val="99"/>
    <w:rsid w:val="00D2217F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5">
    <w:name w:val="A0+5"/>
    <w:uiPriority w:val="99"/>
    <w:rsid w:val="00D2217F"/>
    <w:rPr>
      <w:rFonts w:ascii="KHAHZT+Lora-Regular" w:hAnsi="KHAHZT+Lora-Regular" w:cs="KHAHZT+Lora-Regular"/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C08D-272B-4E76-9FFD-982A24E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 Nüfusunun Geleceği Günlük Plan</vt:lpstr>
    </vt:vector>
  </TitlesOfParts>
  <Manager>cografyahocasi.com</Manager>
  <Company>cografyahocasi.com</Company>
  <LinksUpToDate>false</LinksUpToDate>
  <CharactersWithSpaces>6956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Nüfusunun Geleceği Günlük Plan</dc:title>
  <dc:subject>cografyahocasi.com</dc:subject>
  <dc:creator>cografyahocasi.com</dc:creator>
  <cp:keywords>cografyahocasi.com</cp:keywords>
  <dc:description>Coğrafya Günlük Plan</dc:description>
  <cp:lastModifiedBy>H.Abdullah Koyuncu</cp:lastModifiedBy>
  <cp:revision>17</cp:revision>
  <cp:lastPrinted>2009-01-06T22:36:00Z</cp:lastPrinted>
  <dcterms:created xsi:type="dcterms:W3CDTF">2022-07-01T08:17:00Z</dcterms:created>
  <dcterms:modified xsi:type="dcterms:W3CDTF">2022-10-15T17:53:00Z</dcterms:modified>
  <cp:category>cografyahocasi.com</cp:category>
  <cp:contentStatus>cografyahocasi.com</cp:contentStatus>
</cp:coreProperties>
</file>