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285B96FE" w:rsidR="00867C9F" w:rsidRPr="009246A0" w:rsidRDefault="00D90DF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17-28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7FC549FD" w:rsidR="00512CA1" w:rsidRPr="009246A0" w:rsidRDefault="00D90DF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77792F21" w:rsidR="006E7D80" w:rsidRPr="009246A0" w:rsidRDefault="00D90DF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D90DF3">
              <w:rPr>
                <w:bCs/>
                <w:sz w:val="16"/>
                <w:szCs w:val="16"/>
              </w:rPr>
              <w:t>10.3.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90DF3">
              <w:rPr>
                <w:bCs/>
                <w:sz w:val="16"/>
                <w:szCs w:val="16"/>
              </w:rPr>
              <w:t>KÜRESEL ORTAM: BÖLGELER VE ÜLKELER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56299A41" w:rsidR="00A35428" w:rsidRPr="00E51B77" w:rsidRDefault="00E83040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E83040">
              <w:rPr>
                <w:bCs/>
                <w:sz w:val="16"/>
                <w:szCs w:val="16"/>
              </w:rPr>
              <w:t>ULUSLARARASI ULAŞIM HATLARI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93777BA" w:rsidR="00A35428" w:rsidRPr="00241F8A" w:rsidRDefault="00E83040" w:rsidP="00EB69C0">
            <w:pPr>
              <w:rPr>
                <w:sz w:val="16"/>
                <w:szCs w:val="16"/>
              </w:rPr>
            </w:pPr>
            <w:r w:rsidRPr="00E83040">
              <w:rPr>
                <w:sz w:val="16"/>
                <w:szCs w:val="16"/>
              </w:rPr>
              <w:t>10.3.1. Uluslararası ulaşım hatlarını bölgesel ve küresel etkileri açısından analiz eder.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729DE720" w:rsidR="00A103EB" w:rsidRPr="009246A0" w:rsidRDefault="00E83040" w:rsidP="00E8304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E83040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E83040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4CBE7828" w:rsidR="00A35428" w:rsidRPr="00241F8A" w:rsidRDefault="00E83040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E83040">
              <w:rPr>
                <w:bCs/>
                <w:sz w:val="16"/>
                <w:szCs w:val="16"/>
              </w:rPr>
              <w:t>Demir yolu ve hava yolunun özellikleri verilir. İstanbul’daki 3. Hava Limanı’nın önemine ve Kanal İstanbul projesinin bölgesel ve küresel etkisine yer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6FC87EB1" w14:textId="574C7D3E" w:rsidR="00BB4A8D" w:rsidRPr="00312110" w:rsidRDefault="00912057" w:rsidP="003121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12110">
              <w:rPr>
                <w:b/>
                <w:bCs/>
                <w:color w:val="FF0000"/>
                <w:sz w:val="22"/>
                <w:szCs w:val="22"/>
              </w:rPr>
              <w:t>ULUSLARARASI ULAŞIM HATLARININ GENEL ÖZELLİKLERİ VE ETKİLERİ</w:t>
            </w:r>
          </w:p>
          <w:p w14:paraId="5223D09F" w14:textId="43073B5A" w:rsidR="00912057" w:rsidRDefault="00912057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7CD280" w14:textId="000D2580" w:rsidR="00912057" w:rsidRPr="008A4B9C" w:rsidRDefault="00912057" w:rsidP="009120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057">
              <w:rPr>
                <w:sz w:val="18"/>
                <w:szCs w:val="18"/>
              </w:rPr>
              <w:t>Ulaşım, en genel anlamıyla insan veya eşyanın bir yerden başka bir yere taşınmasıdır. Günümüzde bu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kavram; teknolojinin gelişmesiyle bilginin,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paranın ve çeşitli hizmetlerin de bir yerden başka bir yere çeşitli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ulaşım araçlarıyla taşınmasını içine almıştır. Ulaşım ağlarının gelişmesi ve çeşitlenmesi, kalkınmanın gerçekleşmesinde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en önemli etkenlerden biridir. Ulaşımdaki gelişmeler; sanayi, ticaret ve turizm gibi faaliyetlerin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de hızla gelişmesini sağlamıştır. Ayrıca günümüzde ülkeler ve bölgeler arasındaki ekonomik-kültürel etkileşimin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artmasında ve her türlü ürünün istenilen yere taşınabilmesinde ulaşımda yaşanan gelişmelerin rolü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büyüktür. Ham maddelerin sanayi merkezlerine, üretilen ürünlerin de tüketim alanları olan pazarlara sevk</w:t>
            </w:r>
            <w:r>
              <w:rPr>
                <w:sz w:val="18"/>
                <w:szCs w:val="18"/>
              </w:rPr>
              <w:t xml:space="preserve"> </w:t>
            </w:r>
            <w:r w:rsidRPr="00912057">
              <w:rPr>
                <w:sz w:val="18"/>
                <w:szCs w:val="18"/>
              </w:rPr>
              <w:t>edilmesi ulaşım sayesinde gerçekleşmektedir.</w:t>
            </w:r>
          </w:p>
          <w:p w14:paraId="1EEE03ED" w14:textId="6B1070C4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28D11D0" w14:textId="6BD20F6D" w:rsidR="00E33C48" w:rsidRPr="00E33C48" w:rsidRDefault="00E33C48" w:rsidP="00E33C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48">
              <w:rPr>
                <w:sz w:val="18"/>
                <w:szCs w:val="18"/>
              </w:rPr>
              <w:t>Sanayi Devrimi'nden önce ulaşım sistemleri yeterince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gelişmediği için ulaşım, genellikle binek hayvanları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veya yelkenli gemiler vasıtasıyla gerçekleşmekteydi.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O dönemlerde hem ulaşım hatlarının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taşıma kapasitesi oldukça düşük hem de ürünlerin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günümüze oranla taşınması çok yavaş gerçekleşmekteydi.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Dolayısıyla uzak pazarlara taşınan ürünleri genellikle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yükte hafif pahada ağır olanlar oluşturmaktaydı.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Sanayi Devrimi sayesinde teknolojide yaşanan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gelişmeler, mevcut ulaşım hatları ile ulaşım araçlarını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olumlu yönde etkileyerek ulaşımda çeşitliliği beraberinde</w:t>
            </w:r>
          </w:p>
          <w:p w14:paraId="66DE0585" w14:textId="3FDA0529" w:rsidR="00E33C48" w:rsidRDefault="00E33C48" w:rsidP="00E33C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48">
              <w:rPr>
                <w:sz w:val="18"/>
                <w:szCs w:val="18"/>
              </w:rPr>
              <w:t>getirmiştir. Ulaşımda kaydedilen bu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ilerlemeler günümüzde de devam etmektedir. Örneğin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petrol ve doğal gaz; boru hatları sayesinde önceki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dönemlere oranla daha hızlı, güvenli ve ucuz bir şekilde</w:t>
            </w:r>
            <w:r>
              <w:rPr>
                <w:sz w:val="18"/>
                <w:szCs w:val="18"/>
              </w:rPr>
              <w:t xml:space="preserve"> </w:t>
            </w:r>
            <w:r w:rsidRPr="00E33C48">
              <w:rPr>
                <w:sz w:val="18"/>
                <w:szCs w:val="18"/>
              </w:rPr>
              <w:t>taşınabilmektedir.</w:t>
            </w:r>
          </w:p>
          <w:p w14:paraId="7F04A32F" w14:textId="2D66B680" w:rsidR="00972A32" w:rsidRDefault="00972A32" w:rsidP="00E33C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04FA048" w14:textId="6E09F0EC" w:rsidR="00972A32" w:rsidRDefault="00972A32" w:rsidP="00972A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32">
              <w:rPr>
                <w:sz w:val="18"/>
                <w:szCs w:val="18"/>
              </w:rPr>
              <w:t>Ulaşım, dünyanın her bölgesinde aynı düzeyde gelişmemiştir. Bunun nedeni iklim, yeryüzü şekilleri, çöller</w:t>
            </w:r>
            <w:r>
              <w:rPr>
                <w:sz w:val="18"/>
                <w:szCs w:val="18"/>
              </w:rPr>
              <w:t xml:space="preserve"> </w:t>
            </w:r>
            <w:r w:rsidRPr="00972A32">
              <w:rPr>
                <w:sz w:val="18"/>
                <w:szCs w:val="18"/>
              </w:rPr>
              <w:t>ve bataklıklar gibi fiziki faktörlerle sermaye ve teknoloji gibi beşerî faktörlerin her ülkede aynı özellikleri</w:t>
            </w:r>
            <w:r>
              <w:rPr>
                <w:sz w:val="18"/>
                <w:szCs w:val="18"/>
              </w:rPr>
              <w:t xml:space="preserve"> </w:t>
            </w:r>
            <w:r w:rsidRPr="00972A32">
              <w:rPr>
                <w:sz w:val="18"/>
                <w:szCs w:val="18"/>
              </w:rPr>
              <w:t>taşımamasıdır. Ulaşım ağlarının sıklığı ve kalitesi ülkelerin gelişmişlik düzeyini gösterir. Gelişmiş ülkelerde</w:t>
            </w:r>
            <w:r>
              <w:rPr>
                <w:sz w:val="18"/>
                <w:szCs w:val="18"/>
              </w:rPr>
              <w:t xml:space="preserve"> </w:t>
            </w:r>
            <w:r w:rsidRPr="00972A32">
              <w:rPr>
                <w:sz w:val="18"/>
                <w:szCs w:val="18"/>
              </w:rPr>
              <w:t>ulaşım ağı sık, ulaşım sistemleri çeşitli, hızlı ve konforludur. Az gelişmiş ülkelerde ise ulaşım imkânları ve</w:t>
            </w:r>
            <w:r>
              <w:rPr>
                <w:sz w:val="18"/>
                <w:szCs w:val="18"/>
              </w:rPr>
              <w:t xml:space="preserve"> </w:t>
            </w:r>
            <w:r w:rsidRPr="00972A32">
              <w:rPr>
                <w:sz w:val="18"/>
                <w:szCs w:val="18"/>
              </w:rPr>
              <w:t>ulaşım teknolojisi yeteri kadar gelişmemiştir.</w:t>
            </w:r>
          </w:p>
          <w:p w14:paraId="5736743D" w14:textId="58183AAD" w:rsidR="00B061E3" w:rsidRDefault="00312110" w:rsidP="00972A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78C737CE" wp14:editId="0DA3C7AC">
                  <wp:simplePos x="0" y="0"/>
                  <wp:positionH relativeFrom="column">
                    <wp:posOffset>4038177</wp:posOffset>
                  </wp:positionH>
                  <wp:positionV relativeFrom="paragraph">
                    <wp:posOffset>31750</wp:posOffset>
                  </wp:positionV>
                  <wp:extent cx="2478405" cy="1325880"/>
                  <wp:effectExtent l="0" t="0" r="0" b="7620"/>
                  <wp:wrapThrough wrapText="bothSides">
                    <wp:wrapPolygon edited="0">
                      <wp:start x="0" y="0"/>
                      <wp:lineTo x="0" y="21414"/>
                      <wp:lineTo x="21417" y="21414"/>
                      <wp:lineTo x="21417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EDAEA" w14:textId="284A8379" w:rsidR="00B061E3" w:rsidRDefault="001F34D2" w:rsidP="00B061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34D2">
              <w:rPr>
                <w:b/>
                <w:bCs/>
                <w:color w:val="FF0000"/>
                <w:sz w:val="18"/>
                <w:szCs w:val="18"/>
              </w:rPr>
              <w:t>Ka</w:t>
            </w:r>
            <w:r w:rsidR="00B061E3" w:rsidRPr="001F34D2">
              <w:rPr>
                <w:b/>
                <w:bCs/>
                <w:color w:val="FF0000"/>
                <w:sz w:val="18"/>
                <w:szCs w:val="18"/>
              </w:rPr>
              <w:t>ra yolları</w:t>
            </w:r>
            <w:r w:rsidR="00B061E3" w:rsidRPr="001F34D2">
              <w:rPr>
                <w:color w:val="FF0000"/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kullanılan en eski ulaşım ağıdır. İlk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olarak patika şeklinde görülen bu yollar, zaman içerisinde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tekerlekli araçların kullanılmasıyla geliştirilerek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önemini artırmıştır. Uzun yıllar alternatifi olmayan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bir ulaşım ağı olan kara yolları, zamanla farklı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faaliyet alanlarına da olanak tanımıştır. Bu bağlamda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devletlerin kurulması ve üretimin artmasına bağlı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olarak ilki Roma'da görülen ticaret yolları ortaya çıkmıştır. Anadolu’daki Kral Yolu, Çin’den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Akdeniz ve Karadeniz kıyılarına kadar uzanan İpek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Yolu, Hindistan’daki baharatı Akdeniz ve Kızıldeniz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kıyılarına ulaştıran Baharat Yolu gibi ticaret yolları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İlk ve Orta çağlarda kullanılan önemli kara yollarıdır.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Bu kara yolları, deniz yollarının keşfi ve demir yollarının</w:t>
            </w:r>
            <w:r w:rsidR="00B061E3">
              <w:rPr>
                <w:sz w:val="18"/>
                <w:szCs w:val="18"/>
              </w:rPr>
              <w:t xml:space="preserve"> </w:t>
            </w:r>
            <w:r w:rsidR="00B061E3" w:rsidRPr="00B061E3">
              <w:rPr>
                <w:sz w:val="18"/>
                <w:szCs w:val="18"/>
              </w:rPr>
              <w:t>gelişmesiyle önemini yitirmiştir.</w:t>
            </w:r>
          </w:p>
          <w:p w14:paraId="7104A780" w14:textId="648948D7" w:rsidR="00312110" w:rsidRDefault="00312110" w:rsidP="00B061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6E8907" w14:textId="09E9B457" w:rsidR="001F34D2" w:rsidRDefault="001F34D2" w:rsidP="00B061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19495D1" w14:textId="488EBDF3" w:rsidR="001F34D2" w:rsidRDefault="001F34D2" w:rsidP="001F34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34D2">
              <w:rPr>
                <w:sz w:val="18"/>
                <w:szCs w:val="18"/>
              </w:rPr>
              <w:t>Modern kara yolları, 19. yüzyılda İngiltere'de yapılmış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ve zamanla tüm dünyaya yayılmıştır. Sanayi Devrimi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sayesinde demir yollarının gelişmesiyle önemini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kaybeden kara yolları, 19. yüzyılın sonlarına doğru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motorlu araçların icadı ve yol yapım tekniklerinin gelişmesiyle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tekrar önem kazanmıştır. Günümüzde kara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yolları sayesinde diğer ulaşım araçlarıyla ulaşılamayan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pek çok noktaya ulaşma imkânı bulunmaktadır.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Günümüz dünyasında kullanılan kara yollarının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uzunluğu ve kalitesi teknoloji ile birlikte artmıştır.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Teknik gelişmeler ve artan kara yolu trafiği otoyol yapımını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hızlandırmıştır. Kara yolu ağının sık ve gelişmiş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olduğu yerlerde nüfus yoğun ve şehirleşme oranı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da yüksektir. Kara yolu ağının en uzun olduğu ülke</w:t>
            </w:r>
            <w:r>
              <w:rPr>
                <w:sz w:val="18"/>
                <w:szCs w:val="18"/>
              </w:rPr>
              <w:t xml:space="preserve"> </w:t>
            </w:r>
            <w:r w:rsidRPr="001F34D2">
              <w:rPr>
                <w:sz w:val="18"/>
                <w:szCs w:val="18"/>
              </w:rPr>
              <w:t>ABD, en sık olduğu yerler ise Batı Avrupa ve Japonya'dır</w:t>
            </w:r>
            <w:r>
              <w:rPr>
                <w:sz w:val="18"/>
                <w:szCs w:val="18"/>
              </w:rPr>
              <w:t>.</w:t>
            </w:r>
          </w:p>
          <w:p w14:paraId="2E161163" w14:textId="65B82C52" w:rsidR="001F34D2" w:rsidRDefault="00312110" w:rsidP="00B061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6FE95CF" wp14:editId="4743938D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37465</wp:posOffset>
                  </wp:positionV>
                  <wp:extent cx="2667000" cy="1519555"/>
                  <wp:effectExtent l="0" t="0" r="0" b="4445"/>
                  <wp:wrapThrough wrapText="bothSides">
                    <wp:wrapPolygon edited="0">
                      <wp:start x="0" y="0"/>
                      <wp:lineTo x="0" y="21392"/>
                      <wp:lineTo x="21446" y="21392"/>
                      <wp:lineTo x="21446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AEA97C" w14:textId="4656DC26" w:rsidR="005E6CB4" w:rsidRDefault="005E6CB4" w:rsidP="005E6C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6CB4">
              <w:rPr>
                <w:b/>
                <w:bCs/>
                <w:color w:val="FF0000"/>
                <w:sz w:val="18"/>
                <w:szCs w:val="18"/>
              </w:rPr>
              <w:t>Deniz yolları</w:t>
            </w:r>
            <w:r w:rsidRPr="005E6CB4">
              <w:rPr>
                <w:sz w:val="18"/>
                <w:szCs w:val="18"/>
              </w:rPr>
              <w:t>, kara yollarından sonra gelişme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gösteren ve daha çok yük taşımacılığında kullanılan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ulaşım ağıdır. İlk ve Orta çağlarda daha dar alanlarda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kullanılan deniz yolları, coğrafi keşiflerle birlikte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daha çok kıtalar arası ticarette kullanılmaya başlanmıştır.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Buharlı gemilerin icadı ile ağır tonajlı gemilerin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yapılması, bu yolların önemini daha da artırmıştır.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Deniz yolu, günümüzde ürünlerin uzak mesafelere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taşınmasında kullanılan en yaygın ulaşım ağıdır. Dolayısıyla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dünya ticaretinin büyük bir bölümü bu yolla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gerçekleşmektedir. Tek seferde fazla miktarda yükün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taşınması, yol yapım ve bakım giderlerinin olmaması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ve güzergâhta değişiklik yapılabilmesi gibi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nedenlerle en düşük maliyetli ulaşım sistemi olarak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dikkat çekmektedir</w:t>
            </w:r>
            <w:r>
              <w:rPr>
                <w:sz w:val="18"/>
                <w:szCs w:val="18"/>
              </w:rPr>
              <w:t>.</w:t>
            </w:r>
          </w:p>
          <w:p w14:paraId="0D486F8E" w14:textId="090917B5" w:rsidR="00312110" w:rsidRDefault="00312110" w:rsidP="005E6C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DB7491" w14:textId="2413CCF9" w:rsidR="005B57A8" w:rsidRDefault="005B57A8" w:rsidP="00972A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AB2E52" w14:textId="629603AD" w:rsidR="005B57A8" w:rsidRPr="008A4B9C" w:rsidRDefault="005E6CB4" w:rsidP="005E6C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6CB4">
              <w:rPr>
                <w:sz w:val="18"/>
                <w:szCs w:val="18"/>
              </w:rPr>
              <w:t>Sekiz büyük hat olarak gruplanan dünyadaki deniz yollarının en önemlisi, Batı Avrupa ile Kuzey Amerika'yı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birbirine bağlayan Kuzey Atlantik Yolu'dur. Bu durumun asıl nedeni, bu iki bölgenin dünyanın en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önemli üretim ve tüketim merkezleri olmasıdır. Dünyadaki deniz yollarında gerçekleşen yük taşımacılığının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önemli bir kısmı bu yolda gerçekleşmektedir. Kuzey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Atlantik’ten sonraki en önemli yol ise Batı Avrupa’dan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başlayıp Akdeniz, Süveyş Kanalı, Kızıldeniz ve Hint Okyanusu'nu geçerek Asya’nın doğusuna kadar uzanan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güzergâhtır. Bu yol, Orta Doğu'daki petrolün dünyaya; Batı Avrupa'daki sanayi ürünlerinin de doğuya aktarılmasında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önem arz etmektedir. Ayrıca bu deniz yolunun en önemli noktasını Süveyş Kanalı oluşturmaktadır.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Ümit Burnu Yolu, deniz yollarında önemli bir güzergâh olmasına rağmen Süveyş Kanalı'nın açılmasından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sonra önemini kısmen yitirmiştir. Panama Kanalı'nın açılmasına bağlı olarak Pasifik Aşırı Yolu ile Karayipler-Meksika Körfezi Yolu gibi güzergâhların önemi artmış, Pasifik-Güney Amerika Yolu'nun dolayısıyla Macellan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Boğazı'nın önemi de kısmen azalmıştır.</w:t>
            </w:r>
          </w:p>
          <w:p w14:paraId="5D41586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6A6CF7" w14:textId="58E84041" w:rsidR="00BB4A8D" w:rsidRPr="008A4B9C" w:rsidRDefault="005E6CB4" w:rsidP="005E6C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6CB4">
              <w:rPr>
                <w:sz w:val="18"/>
                <w:szCs w:val="18"/>
              </w:rPr>
              <w:t>İki su kütlesini birleştiren doğal su yollarına boğaz, iki su kütlesini birleştirmek için insanlar tarafından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 xml:space="preserve">açılan su yollarına ise </w:t>
            </w:r>
            <w:r w:rsidRPr="00312110">
              <w:rPr>
                <w:b/>
                <w:bCs/>
                <w:color w:val="FF0000"/>
                <w:sz w:val="18"/>
                <w:szCs w:val="18"/>
              </w:rPr>
              <w:t xml:space="preserve">kanal </w:t>
            </w:r>
            <w:r w:rsidRPr="005E6CB4">
              <w:rPr>
                <w:sz w:val="18"/>
                <w:szCs w:val="18"/>
              </w:rPr>
              <w:t>adı verilir. Deniz yolu ulaşımında çok önemli olan boğaz ve kanallar, yolların kısalmasını</w:t>
            </w:r>
            <w:r>
              <w:rPr>
                <w:sz w:val="18"/>
                <w:szCs w:val="18"/>
              </w:rPr>
              <w:t xml:space="preserve"> </w:t>
            </w:r>
            <w:r w:rsidRPr="005E6CB4">
              <w:rPr>
                <w:sz w:val="18"/>
                <w:szCs w:val="18"/>
              </w:rPr>
              <w:t>sağlayarak ülkeler arası taşımacılığı da hızlandırmıştır.</w:t>
            </w:r>
          </w:p>
          <w:p w14:paraId="3E897A01" w14:textId="66CFF37F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60F5E10B" w:rsidR="00BB4A8D" w:rsidRDefault="00312110" w:rsidP="005E6C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378C21F3" wp14:editId="109D40AA">
                  <wp:simplePos x="0" y="0"/>
                  <wp:positionH relativeFrom="column">
                    <wp:posOffset>4020820</wp:posOffset>
                  </wp:positionH>
                  <wp:positionV relativeFrom="paragraph">
                    <wp:posOffset>64770</wp:posOffset>
                  </wp:positionV>
                  <wp:extent cx="2527935" cy="1422400"/>
                  <wp:effectExtent l="0" t="0" r="5715" b="6350"/>
                  <wp:wrapThrough wrapText="bothSides">
                    <wp:wrapPolygon edited="0">
                      <wp:start x="0" y="0"/>
                      <wp:lineTo x="0" y="21407"/>
                      <wp:lineTo x="21486" y="21407"/>
                      <wp:lineTo x="21486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CB4" w:rsidRPr="005E6CB4">
              <w:rPr>
                <w:b/>
                <w:bCs/>
                <w:color w:val="FF0000"/>
                <w:sz w:val="18"/>
                <w:szCs w:val="18"/>
              </w:rPr>
              <w:t>Demir yolları</w:t>
            </w:r>
            <w:r w:rsidR="005E6CB4" w:rsidRPr="005E6CB4">
              <w:rPr>
                <w:sz w:val="18"/>
                <w:szCs w:val="18"/>
              </w:rPr>
              <w:t>, kara ve deniz yollarından sonra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Sanayi Devrimi sayesinde buhar gücüne dayalı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makinelerin çalıştırılması ile temelleri atılan ulaşım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sistemidir. Buhar gücüyle çalışan lokomotifler,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yük taşıma aracı olarak ilk kez İngiltere’de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kullanılmıştır. Manchester-Liverpool arasında 1830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yılında yapılan demir yolu, esas itibarıyla yük taşımak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için tasarlanmış olup bunun yanında yolcu taşıyan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ilk hat olmuştur.</w:t>
            </w:r>
            <w:r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Demir yolları; kara yollarına göre daha düşük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maliyetli, hızlı ve güvenli bir ulaşım sistemi olması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ve deniz yolu ile kıyılara getirilen malların iç kesimlere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kadar ulaştırılabilmesi bakımından büyük önem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arz etmektedir. 20. yüzyılın başında hem yük hem de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yolcu taşımacılığında en önemli bir ulaşım sistemi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olan demir yolu, bu yüzyılın ortalarında diğer ulaşım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sistemleri ile rekabet edemeyerek geriledi. Günümüzde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ise özellikle gelişmiş ülkelerde saatteki hızı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300 km’yi bulan hızlı tren hatlarının yapılmasıyla demir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yollarının yolcu taşımacılığındaki önemi yeniden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artmış ve bu ulaşım sistemi kara yolları ile rekabet</w:t>
            </w:r>
            <w:r w:rsidR="005E6CB4">
              <w:rPr>
                <w:sz w:val="18"/>
                <w:szCs w:val="18"/>
              </w:rPr>
              <w:t xml:space="preserve"> </w:t>
            </w:r>
            <w:r w:rsidR="005E6CB4" w:rsidRPr="005E6CB4">
              <w:rPr>
                <w:sz w:val="18"/>
                <w:szCs w:val="18"/>
              </w:rPr>
              <w:t>eder duruma gelmiştir</w:t>
            </w:r>
            <w:r w:rsidR="005E6CB4">
              <w:rPr>
                <w:sz w:val="18"/>
                <w:szCs w:val="18"/>
              </w:rPr>
              <w:t>.</w:t>
            </w:r>
          </w:p>
          <w:p w14:paraId="769CE29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4151A013" w:rsidR="00BB4A8D" w:rsidRPr="008A4B9C" w:rsidRDefault="00AD634F" w:rsidP="00AD63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634F">
              <w:rPr>
                <w:sz w:val="18"/>
                <w:szCs w:val="18"/>
              </w:rPr>
              <w:t>Demir yolu ulaşım sisteminin bir ülkede gelişmesinde o ülkenin teknolojik açıdan gelişmişlik düzeyi ile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yeterli sermaye birikimine sahip olması önemlidir. Bu tür gelişmiş ülkeler, oldukça sık bir demir yolu ağına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sahiptir. İklim ve yeryüzü şekilleri gibi fiziki faktörlerin yanı sıra nüfusun dağılışı gibi beşerî faktörler de demir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yolu ağının dağılışını etkiler. Bu açıdan bakıldığında nüfusun seyrek olduğu engebeli bölgelerde demir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yolu ağının da yeterince gelişmediği görülmektedir.</w:t>
            </w:r>
          </w:p>
          <w:p w14:paraId="07E3F69D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2F2EE2" w14:textId="248FCF28" w:rsidR="00BB4A8D" w:rsidRPr="008A4B9C" w:rsidRDefault="00AD634F" w:rsidP="00AD63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634F">
              <w:rPr>
                <w:sz w:val="18"/>
                <w:szCs w:val="18"/>
              </w:rPr>
              <w:t>Kuzey Amerika, demir yolu ağının en yoğun olduğu kıtadır. Sanayi ve ticaretin geliştiği ABD’nin doğusu ile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Kanada’nın güneyinde demir yolları yoğunlaşmıştır. Benzer şekilde Avrupa Kıtası'nın batısında sık bir demir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yolu ağı göze çarparken doğusunda bu ulaşım ağı oldukça seyrektir. Asya Kıtası, Avrupa ve Kuzey Amerika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kadar sık demir yolu ağına sahip değildir. Himalayalar, Orta Asya ve Sibirya demir yolu ulaşımının seyrekleştiği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yerlerdir. Buna karşılık Hindistan, Japonya ve Güney Kore demir yollarının yoğunlaştığı ülkeler olarak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dikkat çekmektedir. Afrika Kıtası genelinde seyrek olan demir yolu ağı, daha çok sömürgeci devletler tarafından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buradaki madenleri limanlara taşımak amacıyla yapılmıştır. Demir yolu ağının en sık olduğu yer kıtanın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en gelişmiş ülkesi olan Güney Afrika Cumhuriyeti'dir. Okyanusya Kıtası'na bakıldığında ise demir yolları,</w:t>
            </w:r>
            <w:r>
              <w:rPr>
                <w:sz w:val="18"/>
                <w:szCs w:val="18"/>
              </w:rPr>
              <w:t xml:space="preserve"> </w:t>
            </w:r>
            <w:r w:rsidRPr="00AD634F">
              <w:rPr>
                <w:sz w:val="18"/>
                <w:szCs w:val="18"/>
              </w:rPr>
              <w:t>sanayinin geliştiği ve nüfusun yoğunlaştığı kıtanın güneydoğu kıyılarında bulunmaktadır.</w:t>
            </w:r>
          </w:p>
          <w:p w14:paraId="164EC87C" w14:textId="4DB3514E" w:rsidR="00BB4A8D" w:rsidRPr="008A4B9C" w:rsidRDefault="00312110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2BEDAE8" wp14:editId="026C6123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121285</wp:posOffset>
                  </wp:positionV>
                  <wp:extent cx="2623820" cy="1498600"/>
                  <wp:effectExtent l="0" t="0" r="5080" b="6350"/>
                  <wp:wrapThrough wrapText="bothSides">
                    <wp:wrapPolygon edited="0">
                      <wp:start x="0" y="0"/>
                      <wp:lineTo x="0" y="21417"/>
                      <wp:lineTo x="21485" y="21417"/>
                      <wp:lineTo x="21485" y="0"/>
                      <wp:lineTo x="0" y="0"/>
                    </wp:wrapPolygon>
                  </wp:wrapThrough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E334F" w14:textId="2C389934" w:rsidR="00BB4A8D" w:rsidRPr="008A4B9C" w:rsidRDefault="00C77789" w:rsidP="00C777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7789">
              <w:rPr>
                <w:b/>
                <w:bCs/>
                <w:color w:val="FF0000"/>
                <w:sz w:val="18"/>
                <w:szCs w:val="18"/>
              </w:rPr>
              <w:t>Hava yolları</w:t>
            </w:r>
            <w:r w:rsidRPr="00C77789">
              <w:rPr>
                <w:sz w:val="18"/>
                <w:szCs w:val="18"/>
              </w:rPr>
              <w:t>, ilk olarak Fransa'da ticari amaçlı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yapılan seferler şeklinde ortaya çıkmıştır. Hava yolu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ulaşımı, diğer ulaşım sistemlerinden daha geç başlamış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ancak çok hızlı bir gelişme göstermiştir. Önceleri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askerî amaçlı olarak kullanılan uçakların günümüzde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sivil havacılık alanında kullanımı oldukça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yaygınlaşmıştır. Hava yolu ulaşımında II. Dünya Savaşı'ndan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sonra hızlı bir gelişme olmuştur. Hava yolu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ulaşımındaki asıl gelişme; uçak sanayisinin gelişmesi,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hava yollarındaki faaliyetleri düzenleyen uluslararası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anlaşmalar ve havaalanı yapımında kaydedilen ilerlemeler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sayesinde gerçekleşmiştir</w:t>
            </w:r>
            <w:r>
              <w:rPr>
                <w:sz w:val="18"/>
                <w:szCs w:val="18"/>
              </w:rPr>
              <w:t>.</w:t>
            </w:r>
            <w:r w:rsidR="00312110"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Hava yolu, nüfusun fazla ve sanayinin de ileri düzeyde olduğu bölgelerde özellikle yolcu taşımacılığında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en çok tercih edilen önemli bir ulaşım sistemidir. Kuzey Amerika, Batı Avrupa ve Güneydoğu Asya hava yolu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ulaşımının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en yoğun olduğu bölgelere örnek verilebilir</w:t>
            </w:r>
            <w:r w:rsidR="00312110">
              <w:rPr>
                <w:sz w:val="18"/>
                <w:szCs w:val="18"/>
              </w:rPr>
              <w:t xml:space="preserve">. </w:t>
            </w:r>
            <w:r w:rsidRPr="00C77789">
              <w:rPr>
                <w:sz w:val="18"/>
                <w:szCs w:val="18"/>
              </w:rPr>
              <w:t>Ülke bazında bakıldığında ise ABD'nin en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gelişmiş ve en yaygın hava yolu ulaşımına sahip olduğunu söylemek mümkündür. ABD'nin yüz ölçümünün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büyük olması, ülke içinde de hava ulaşımının yaygın olarak kullanılmasını sağlamıştır. Hem kıta içi hem de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kıtalar arası yolcu taşımacılığında Avrupa Birliği ülkelerinde de hava ulaşımı oldukça yaygın olarak kullanılmaktadır.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Bunun dışında Asya Kıtası'nın güneydoğusunda yer alan özellikle Japonya, Güney Kore, Singapur</w:t>
            </w:r>
            <w:r>
              <w:rPr>
                <w:sz w:val="18"/>
                <w:szCs w:val="18"/>
              </w:rPr>
              <w:t xml:space="preserve"> </w:t>
            </w:r>
            <w:r w:rsidRPr="00C77789">
              <w:rPr>
                <w:sz w:val="18"/>
                <w:szCs w:val="18"/>
              </w:rPr>
              <w:t>ve Çin gibi ülkelerde hava ulaşımının oldukça yoğun olduğu görülmektedir.</w:t>
            </w:r>
          </w:p>
          <w:p w14:paraId="471E737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388B49D" w14:textId="118ADE76" w:rsidR="00312110" w:rsidRPr="00312110" w:rsidRDefault="00312110" w:rsidP="003121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2110">
              <w:rPr>
                <w:sz w:val="18"/>
                <w:szCs w:val="18"/>
              </w:rPr>
              <w:t>Hava yolu ulaşımının tercih edilme nedeni, yüksek hızının yanı sıra kaza oranının diğer ulaşım araçlarına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göre daha düşük olmasıdır. Teknolojinin gelişmesiyle birlikte ucuzlayan hava yolu ulaşımı, diğer ulaşım türlerine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göre hâlâ en pahalı ulaşım sistemidir. Daha çok yolcu taşımacılığında kullanılan bu ulaşım sisteminden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yük taşımacılığında da yararlanılmaktadır. Bu bağlamda özel kargo uçakları bulunmaktadır.</w:t>
            </w:r>
          </w:p>
          <w:p w14:paraId="34CD2997" w14:textId="041950F6" w:rsidR="00BB4A8D" w:rsidRPr="008A4B9C" w:rsidRDefault="00312110" w:rsidP="003121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2110">
              <w:rPr>
                <w:sz w:val="18"/>
                <w:szCs w:val="18"/>
              </w:rPr>
              <w:t>Görsel 3.8: Avrupa’nın en önemli havalimanlarından biri olan Atatürk Havalimanı (İstanbul / Türkiye)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Havalimanları, hava yolu ulaşımında ayrı bir öneme sahiptir. Yolcuların her türlü ihtiyaçlarının karşılanabilmesi,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uçakların gerekli bakım, kontrol vb. işlemlerinin yürütülebilmesi adına bu alanlar, günümüz ulaşım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sistemleri içerisinde çok kapsamlı ve modern birer liman özelliği taşımaktadır</w:t>
            </w:r>
            <w:r>
              <w:rPr>
                <w:sz w:val="18"/>
                <w:szCs w:val="18"/>
              </w:rPr>
              <w:t>.</w:t>
            </w:r>
          </w:p>
          <w:p w14:paraId="3ED73D75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5E9029" w14:textId="33AD75B3" w:rsidR="00BB4A8D" w:rsidRPr="008A4B9C" w:rsidRDefault="00312110" w:rsidP="003121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2110">
              <w:rPr>
                <w:sz w:val="18"/>
                <w:szCs w:val="18"/>
              </w:rPr>
              <w:t>Günümüzde yaşanan ekonomik büyümeye ve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teknolojik gelişmelere bağlı olarak ulaşım sistemleri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büyük bir dönüşüm geçirmektedir. Ulaşım sistemlerinin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çeşitlenmesinin yanı sıra klasik olarak tabir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edilen ulaşım sistemleri de dünyada en çok rağbet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gören güvenli, konforlu, dakik vb. ulaşım özellikleri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nedeniyle gelişimlerini hızlandırmıştır. Özellikle bilgi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ve iletişim teknolojilerinin kullanılmasıyla oluşturulan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b/>
                <w:bCs/>
                <w:sz w:val="18"/>
                <w:szCs w:val="18"/>
              </w:rPr>
              <w:t>akıllı ulaşım sistemleri</w:t>
            </w:r>
            <w:r w:rsidRPr="00312110">
              <w:rPr>
                <w:sz w:val="18"/>
                <w:szCs w:val="18"/>
              </w:rPr>
              <w:t xml:space="preserve"> sayesinde ürünlere hızlı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ve etkin bir erişim sağlanarak daha verimli bir küresel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ulaşım sistemi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meydana getirilmiştir</w:t>
            </w:r>
            <w:r>
              <w:rPr>
                <w:sz w:val="18"/>
                <w:szCs w:val="18"/>
              </w:rPr>
              <w:t xml:space="preserve">. </w:t>
            </w:r>
            <w:r w:rsidRPr="00312110">
              <w:rPr>
                <w:sz w:val="18"/>
                <w:szCs w:val="18"/>
              </w:rPr>
              <w:t>Ulaşım; sadece insan ve malın taşınması değil, teknolojinin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gelişmesiyle birlikte haber, bilgi, para vb.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hizmetlerin de bir yerden başka bir yere çeşitli iletişim araçlarıyla taşınmasını kapsamaktadır.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 xml:space="preserve">Son yıllarda büyük gelişme gösteren ulaşım sistemlerinden biri de </w:t>
            </w:r>
            <w:r w:rsidRPr="00312110">
              <w:rPr>
                <w:b/>
                <w:bCs/>
                <w:color w:val="FF0000"/>
                <w:sz w:val="18"/>
                <w:szCs w:val="18"/>
              </w:rPr>
              <w:t>boru hatları</w:t>
            </w:r>
            <w:r w:rsidRPr="00312110">
              <w:rPr>
                <w:sz w:val="18"/>
                <w:szCs w:val="18"/>
              </w:rPr>
              <w:t>dır. Boru hatlarıyla taşımacılık,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sanayinin gelişmesi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ve taşınan ham maddenin yoğunlaşmasına bağlı olarak önem kazanmıştır. Boru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hatlarının yapılma amacı; bölgeler arasında ham madde ve enerji kaynağı niteliğindeki katı, sıvı ve gaz maddelerin</w:t>
            </w:r>
            <w:r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(petrol, doğal gaz, su, kömür, maden cevheri) taşınmasına dayanmaktadır.</w:t>
            </w: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1E21F5D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3D5278">
              <w:rPr>
                <w:sz w:val="18"/>
                <w:szCs w:val="18"/>
              </w:rPr>
              <w:t>Kara yolu ulaşımını sınırlandıran faktörler nelerdir?</w:t>
            </w:r>
          </w:p>
          <w:p w14:paraId="775EE066" w14:textId="60DD6DD0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3D5278">
              <w:rPr>
                <w:sz w:val="18"/>
                <w:szCs w:val="18"/>
              </w:rPr>
              <w:t>Dünyadaki önemli boğaz ve kanallar nelerdir?</w:t>
            </w:r>
          </w:p>
          <w:p w14:paraId="52A20215" w14:textId="65C47B2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3D5278">
              <w:rPr>
                <w:sz w:val="18"/>
                <w:szCs w:val="18"/>
              </w:rPr>
              <w:t>Panama Kanalı’nın özellikleri nelerdir?</w:t>
            </w:r>
          </w:p>
          <w:p w14:paraId="02E74865" w14:textId="618890C0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3D5278">
              <w:rPr>
                <w:sz w:val="18"/>
                <w:szCs w:val="18"/>
              </w:rPr>
              <w:t>İlk demir yolu hattı nerede kurulmuştur?</w:t>
            </w:r>
          </w:p>
          <w:p w14:paraId="2DB66B81" w14:textId="0655A6FF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  <w:r w:rsidR="003D5278">
              <w:rPr>
                <w:sz w:val="18"/>
                <w:szCs w:val="18"/>
              </w:rPr>
              <w:t>Hava yolu ulaşımının yoğun olarak kullanıldığı ülkeler hangileridir</w:t>
            </w:r>
            <w:r w:rsidR="00FE300A">
              <w:rPr>
                <w:sz w:val="18"/>
                <w:szCs w:val="18"/>
              </w:rPr>
              <w:t>?</w:t>
            </w:r>
          </w:p>
          <w:p w14:paraId="1DF1DD19" w14:textId="77777777" w:rsidR="003D5278" w:rsidRDefault="003D5278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6D2CBAA8" w14:textId="6E9346A1" w:rsidR="003D5278" w:rsidRPr="003D5278" w:rsidRDefault="00FE300A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3D5278" w:rsidRPr="003D5278">
              <w:rPr>
                <w:sz w:val="18"/>
                <w:szCs w:val="18"/>
              </w:rPr>
              <w:t xml:space="preserve"> Ulaşım sistemleri ile ilgili olarak aşağıda verilen bilgilerden hangisi yanlıştır?</w:t>
            </w:r>
          </w:p>
          <w:p w14:paraId="6801BA36" w14:textId="77777777" w:rsidR="003D5278" w:rsidRPr="003D5278" w:rsidRDefault="003D5278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D5278">
              <w:rPr>
                <w:sz w:val="18"/>
                <w:szCs w:val="18"/>
              </w:rPr>
              <w:t>A) Önemli ulaşım yolları üzerinde bulunan yerleşmeler genellikle yoğun nüfusludur.</w:t>
            </w:r>
          </w:p>
          <w:p w14:paraId="25519B23" w14:textId="77777777" w:rsidR="003D5278" w:rsidRPr="003D5278" w:rsidRDefault="003D5278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D5278">
              <w:rPr>
                <w:sz w:val="18"/>
                <w:szCs w:val="18"/>
              </w:rPr>
              <w:t>B) Kıtalararası yük taşımacılığında kara yolu ulaşımı diğer ulaşım sistemlerine göre daha ucuzdur.</w:t>
            </w:r>
          </w:p>
          <w:p w14:paraId="46B9484F" w14:textId="77777777" w:rsidR="003D5278" w:rsidRPr="003D5278" w:rsidRDefault="003D5278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D5278">
              <w:rPr>
                <w:sz w:val="18"/>
                <w:szCs w:val="18"/>
              </w:rPr>
              <w:t>C) Batı Avrupa ülkelerinde demir yolu taşımacılığı Orta Asya ülkelerine göre daha fazla gelişmiştir.</w:t>
            </w:r>
          </w:p>
          <w:p w14:paraId="4D17DA30" w14:textId="77777777" w:rsidR="003D5278" w:rsidRPr="003D5278" w:rsidRDefault="003D5278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D5278">
              <w:rPr>
                <w:sz w:val="18"/>
                <w:szCs w:val="18"/>
              </w:rPr>
              <w:t>D) Uluslararası yolcu taşımacılığında havayolları kara yoluna göre daha fazla kullanılmaktadır.</w:t>
            </w:r>
          </w:p>
          <w:p w14:paraId="4140C7A3" w14:textId="77777777" w:rsidR="003D5278" w:rsidRDefault="003D5278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D5278">
              <w:rPr>
                <w:sz w:val="18"/>
                <w:szCs w:val="18"/>
              </w:rPr>
              <w:t>E) Kara ve demir yolları ile bağlantılı olan limanların ticaret kapasitesi diğer limanlara göre daha geniştir.</w:t>
            </w:r>
          </w:p>
          <w:p w14:paraId="5FF2E033" w14:textId="2309925D" w:rsidR="00FE300A" w:rsidRPr="008E25A9" w:rsidRDefault="00FE300A" w:rsidP="003D527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34D2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12110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D5278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57A8"/>
    <w:rsid w:val="005C6827"/>
    <w:rsid w:val="005D2D4E"/>
    <w:rsid w:val="005D31B0"/>
    <w:rsid w:val="005D3499"/>
    <w:rsid w:val="005D603A"/>
    <w:rsid w:val="005E6315"/>
    <w:rsid w:val="005E6CB4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2057"/>
    <w:rsid w:val="0091372D"/>
    <w:rsid w:val="00920BF6"/>
    <w:rsid w:val="00922FD2"/>
    <w:rsid w:val="009246A0"/>
    <w:rsid w:val="009249E7"/>
    <w:rsid w:val="009340F0"/>
    <w:rsid w:val="009360DF"/>
    <w:rsid w:val="009418DB"/>
    <w:rsid w:val="00972A32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D634F"/>
    <w:rsid w:val="00AF11E0"/>
    <w:rsid w:val="00AF1D5B"/>
    <w:rsid w:val="00AF3D83"/>
    <w:rsid w:val="00AF6A88"/>
    <w:rsid w:val="00AF777C"/>
    <w:rsid w:val="00B061E3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77789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0DF3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33C48"/>
    <w:rsid w:val="00E51B77"/>
    <w:rsid w:val="00E53461"/>
    <w:rsid w:val="00E53B24"/>
    <w:rsid w:val="00E64932"/>
    <w:rsid w:val="00E713CD"/>
    <w:rsid w:val="00E748BA"/>
    <w:rsid w:val="00E76A2D"/>
    <w:rsid w:val="00E83040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E300A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14532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75</cp:revision>
  <cp:lastPrinted>2009-01-06T22:36:00Z</cp:lastPrinted>
  <dcterms:created xsi:type="dcterms:W3CDTF">2020-02-17T18:02:00Z</dcterms:created>
  <dcterms:modified xsi:type="dcterms:W3CDTF">2021-06-01T20:57:00Z</dcterms:modified>
  <cp:category>cografyahocasi.com</cp:category>
  <cp:contentStatus>cografyahocasi.com</cp:contentStatus>
</cp:coreProperties>
</file>