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9A1045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5C996697" w:rsidR="00867C9F" w:rsidRPr="009246A0" w:rsidRDefault="00CC257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15-19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 w:rsidR="00E748BA"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78E8F181" w:rsidR="00512CA1" w:rsidRPr="009246A0" w:rsidRDefault="00CC257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264CE872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</w:t>
            </w:r>
            <w:r w:rsidR="00C10330">
              <w:rPr>
                <w:bCs/>
                <w:sz w:val="16"/>
                <w:szCs w:val="16"/>
              </w:rPr>
              <w:t>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497049CE" w:rsidR="00A35428" w:rsidRPr="00E51B77" w:rsidRDefault="00F43D0D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F43D0D">
              <w:rPr>
                <w:bCs/>
                <w:sz w:val="16"/>
                <w:szCs w:val="16"/>
              </w:rPr>
              <w:t>TÜRKİYE’DEKİ BİTKİ TOPLULUKLARI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91F7CC6" w:rsidR="00A35428" w:rsidRPr="00241F8A" w:rsidRDefault="000D741F" w:rsidP="00EB69C0">
            <w:pPr>
              <w:rPr>
                <w:sz w:val="16"/>
                <w:szCs w:val="16"/>
              </w:rPr>
            </w:pPr>
            <w:r w:rsidRPr="000D741F">
              <w:rPr>
                <w:sz w:val="16"/>
                <w:szCs w:val="16"/>
              </w:rPr>
              <w:t>10.1.17. Türkiye’deki doğal bitki topluluklarının dağılışını yetişme şartları açısından analiz eder.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37F4A06E" w:rsidR="00A103EB" w:rsidRPr="009246A0" w:rsidRDefault="000D741F" w:rsidP="000D741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0D741F">
              <w:rPr>
                <w:bCs/>
                <w:sz w:val="16"/>
                <w:szCs w:val="16"/>
              </w:rPr>
              <w:t>Harita becerisi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0D741F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65CA37C8" w:rsidR="00A35428" w:rsidRPr="00241F8A" w:rsidRDefault="000D741F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0D741F">
              <w:rPr>
                <w:bCs/>
                <w:sz w:val="16"/>
                <w:szCs w:val="16"/>
              </w:rPr>
              <w:t>Türkiye’deki endemik ve relikt bitkilerin dağılışı, önemi ve korunması gerekliliği üzerinde durulur.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E9FC0A9" w14:textId="77777777" w:rsidR="00246190" w:rsidRDefault="00246190" w:rsidP="001F6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bookmarkStart w:id="0" w:name="U6K2"/>
            <w:bookmarkEnd w:id="0"/>
          </w:p>
          <w:p w14:paraId="7690A547" w14:textId="23C52EC3" w:rsidR="00BB4A8D" w:rsidRPr="001F63DC" w:rsidRDefault="002B0B32" w:rsidP="001F6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E19D7">
              <w:rPr>
                <w:b/>
                <w:bCs/>
                <w:color w:val="FF0000"/>
                <w:sz w:val="22"/>
                <w:szCs w:val="22"/>
              </w:rPr>
              <w:t>TÜRKİYE’DEKİ BİTKİ TOPLULUKLARI</w:t>
            </w:r>
          </w:p>
          <w:p w14:paraId="76996891" w14:textId="4310EAA5" w:rsidR="002B0B32" w:rsidRDefault="001F63DC" w:rsidP="002B0B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2B0B32" w:rsidRPr="002B0B32">
              <w:rPr>
                <w:sz w:val="18"/>
                <w:szCs w:val="18"/>
              </w:rPr>
              <w:t>Türkiye, zengin bitki çeşitliliğine sahip olan dünyanın sayılı ülkelerinden biridir. Ülkemiz, sahip olduğu</w:t>
            </w:r>
            <w:r w:rsidR="002B0B32">
              <w:rPr>
                <w:sz w:val="18"/>
                <w:szCs w:val="18"/>
              </w:rPr>
              <w:t xml:space="preserve"> </w:t>
            </w:r>
            <w:r w:rsidR="002B0B32" w:rsidRPr="002B0B32">
              <w:rPr>
                <w:sz w:val="18"/>
                <w:szCs w:val="18"/>
              </w:rPr>
              <w:t>yaklaşık 12 000 bitki türüyle Avrupa Kıtası'nın tamamında görülen bitki türlerine yakın bir çeşitliliği barındırmaktadır.</w:t>
            </w:r>
            <w:r w:rsidR="002B0B32">
              <w:rPr>
                <w:sz w:val="18"/>
                <w:szCs w:val="18"/>
              </w:rPr>
              <w:t xml:space="preserve"> </w:t>
            </w:r>
            <w:r w:rsidR="002B0B32" w:rsidRPr="002B0B32">
              <w:rPr>
                <w:sz w:val="18"/>
                <w:szCs w:val="18"/>
              </w:rPr>
              <w:t>Bu zenginlikte iklim çeşitliliği, kısa mesafelerde değişen yeryüzü şekilleri, coğrafi konum, jeolojik</w:t>
            </w:r>
            <w:r w:rsidR="002B0B32">
              <w:rPr>
                <w:sz w:val="18"/>
                <w:szCs w:val="18"/>
              </w:rPr>
              <w:t xml:space="preserve"> </w:t>
            </w:r>
            <w:r w:rsidR="002B0B32" w:rsidRPr="002B0B32">
              <w:rPr>
                <w:sz w:val="18"/>
                <w:szCs w:val="18"/>
              </w:rPr>
              <w:t>zamanlar boyunca görülen iklim değişiklikleri ve toprak türleri gibi faktörler etkili olmuştur. Ayrıca son yıllarda</w:t>
            </w:r>
            <w:r w:rsidR="002B0B32">
              <w:rPr>
                <w:sz w:val="18"/>
                <w:szCs w:val="18"/>
              </w:rPr>
              <w:t xml:space="preserve"> </w:t>
            </w:r>
            <w:r w:rsidR="002B0B32" w:rsidRPr="002B0B32">
              <w:rPr>
                <w:sz w:val="18"/>
                <w:szCs w:val="18"/>
              </w:rPr>
              <w:t>yapılan çalışmalarla bugüne kadar bilinmeyen çok sayıda bitki türü bu çeşitliliğe eklenmiştir.</w:t>
            </w:r>
          </w:p>
          <w:p w14:paraId="69EF1800" w14:textId="77777777" w:rsidR="002B0B32" w:rsidRPr="002B0B32" w:rsidRDefault="002B0B32" w:rsidP="002B0B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EE03ED" w14:textId="6D93016F" w:rsidR="00BB4A8D" w:rsidRPr="008A4B9C" w:rsidRDefault="002B0B3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0B32">
              <w:rPr>
                <w:sz w:val="18"/>
                <w:szCs w:val="18"/>
              </w:rPr>
              <w:t xml:space="preserve">Yeryüzünün belirli bir bölgesinde yaşayan ve başka sahalarda rastlanmayan bitki türlerine </w:t>
            </w:r>
            <w:r w:rsidRPr="00740A25">
              <w:rPr>
                <w:b/>
                <w:bCs/>
                <w:sz w:val="18"/>
                <w:szCs w:val="18"/>
              </w:rPr>
              <w:t xml:space="preserve">yerli </w:t>
            </w:r>
            <w:r w:rsidRPr="00750ADC">
              <w:rPr>
                <w:b/>
                <w:bCs/>
                <w:sz w:val="18"/>
                <w:szCs w:val="18"/>
              </w:rPr>
              <w:t>(endemik) bitki</w:t>
            </w:r>
            <w:r w:rsidRPr="002B0B32">
              <w:rPr>
                <w:sz w:val="18"/>
                <w:szCs w:val="18"/>
              </w:rPr>
              <w:t xml:space="preserve"> denir. Ülkemizdeki bitki türlerinin yaklaşık üçte biri (3700 civarı) endemik olup en fazla çeşitlilik Toros</w:t>
            </w:r>
            <w:r>
              <w:rPr>
                <w:sz w:val="18"/>
                <w:szCs w:val="18"/>
              </w:rPr>
              <w:t xml:space="preserve"> </w:t>
            </w:r>
            <w:r w:rsidRPr="002B0B32">
              <w:rPr>
                <w:sz w:val="18"/>
                <w:szCs w:val="18"/>
              </w:rPr>
              <w:t>Dağları’nda bulunmaktadır. Ülkemizde yer alan başlıca endemik bitki türleri şulardır:</w:t>
            </w:r>
          </w:p>
          <w:p w14:paraId="719C39EF" w14:textId="425D9A9C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Köyceğiz Gölü çevresinde sığla (günlük) ağacı</w:t>
            </w:r>
          </w:p>
          <w:p w14:paraId="11677A0B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Datça ve Teke Yarımadası'nda Datça hurması</w:t>
            </w:r>
          </w:p>
          <w:p w14:paraId="49C1A0FB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Kazdağları'nda Kazdağı göknarı</w:t>
            </w:r>
          </w:p>
          <w:p w14:paraId="2449A4BD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Göller Yöresi'nde kasnak meşesi</w:t>
            </w:r>
          </w:p>
          <w:p w14:paraId="38419B30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Kastamonu ve Yozgat çevresinde ispir meşesi</w:t>
            </w:r>
          </w:p>
          <w:p w14:paraId="47EB4093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Rize'de (Anzer Yaylası) Anzer çayı</w:t>
            </w:r>
          </w:p>
          <w:p w14:paraId="271933D3" w14:textId="77777777" w:rsidR="00F9329A" w:rsidRPr="00F9329A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Safranbolu çevresinde safran otu</w:t>
            </w:r>
          </w:p>
          <w:p w14:paraId="61AEB1A9" w14:textId="0CE5F920" w:rsidR="00BB4A8D" w:rsidRPr="008A4B9C" w:rsidRDefault="00F9329A" w:rsidP="00F93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29A">
              <w:rPr>
                <w:sz w:val="18"/>
                <w:szCs w:val="18"/>
              </w:rPr>
              <w:t>• Erzurum'da (Karayazı) ters lale</w:t>
            </w:r>
          </w:p>
          <w:p w14:paraId="5D41586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6A6CF7" w14:textId="43CA4C34" w:rsidR="00BB4A8D" w:rsidRPr="008A4B9C" w:rsidRDefault="00991FB9" w:rsidP="007541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361FB2A0" wp14:editId="45981869">
                  <wp:simplePos x="0" y="0"/>
                  <wp:positionH relativeFrom="column">
                    <wp:posOffset>3961130</wp:posOffset>
                  </wp:positionH>
                  <wp:positionV relativeFrom="paragraph">
                    <wp:posOffset>728345</wp:posOffset>
                  </wp:positionV>
                  <wp:extent cx="2611755" cy="1310640"/>
                  <wp:effectExtent l="0" t="0" r="0" b="3810"/>
                  <wp:wrapThrough wrapText="bothSides">
                    <wp:wrapPolygon edited="0">
                      <wp:start x="0" y="0"/>
                      <wp:lineTo x="0" y="21349"/>
                      <wp:lineTo x="21427" y="21349"/>
                      <wp:lineTo x="21427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1C1" w:rsidRPr="007541C1">
              <w:rPr>
                <w:sz w:val="18"/>
                <w:szCs w:val="18"/>
              </w:rPr>
              <w:t>Geçmiş jeolojik dönemlere ait iklim koşullarında yaşamış olan bitki türlerinden bazıları, günümüz iklim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 xml:space="preserve">koşullarına da uyum sağlayarak varlığını sürdürebilmektedir. Bu bitkilere </w:t>
            </w:r>
            <w:r w:rsidR="007541C1" w:rsidRPr="00A5734F">
              <w:rPr>
                <w:b/>
                <w:bCs/>
                <w:sz w:val="18"/>
                <w:szCs w:val="18"/>
              </w:rPr>
              <w:t>kalıntı (relikt) bitkiler</w:t>
            </w:r>
            <w:r w:rsidR="007541C1" w:rsidRPr="007541C1">
              <w:rPr>
                <w:sz w:val="18"/>
                <w:szCs w:val="18"/>
              </w:rPr>
              <w:t xml:space="preserve"> denir. Örneğin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>Kuvaterner'de günümüzden daha ılıman iklim koşullarına sahip olan Toros Dağları'nda kestane, kayın ve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>ıhlamur gibi nem isteği fazla olan ağaçlar geniş yer kaplamaktaydı. Günümüzde daha sıcak iklim şartlarına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>sahip olan bu dağlarda yer yer bu ağaçların kalıntılarına rastlanmaktadır. Sahip olduğumuz başlıca kalıntı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>bitkiler ve bunların görüldüğü yerler; kayın ağacı (Amanos Dağları ve Murat Dağı), sığla ağacı (Köyceğiz Gölü</w:t>
            </w:r>
            <w:r w:rsidR="007541C1">
              <w:rPr>
                <w:sz w:val="18"/>
                <w:szCs w:val="18"/>
              </w:rPr>
              <w:t xml:space="preserve"> </w:t>
            </w:r>
            <w:r w:rsidR="007541C1" w:rsidRPr="007541C1">
              <w:rPr>
                <w:sz w:val="18"/>
                <w:szCs w:val="18"/>
              </w:rPr>
              <w:t>çevresi), sedir ağacı (Kelkit Çayı Vadisi), ıhlamur ağacı (Bey Dağları), kocayemiş ve sandaldır (Çoruh Vadisi).</w:t>
            </w:r>
          </w:p>
          <w:p w14:paraId="3E897A01" w14:textId="084B1752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7BF40353" w:rsidR="00BB4A8D" w:rsidRPr="008A4B9C" w:rsidRDefault="002732AF" w:rsidP="0027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32AF">
              <w:rPr>
                <w:sz w:val="18"/>
                <w:szCs w:val="18"/>
              </w:rPr>
              <w:t>Türkiye'de Bitki Toplulukları</w:t>
            </w:r>
            <w:r>
              <w:rPr>
                <w:sz w:val="18"/>
                <w:szCs w:val="18"/>
              </w:rPr>
              <w:t xml:space="preserve"> </w:t>
            </w:r>
            <w:r w:rsidRPr="002732AF">
              <w:rPr>
                <w:sz w:val="18"/>
                <w:szCs w:val="18"/>
              </w:rPr>
              <w:t>Türkiye’deki bitki toplulukları; orman, çalı (maki, garig, psödomaki) ve ot (bozkır ve dağ çayırları) olmak</w:t>
            </w:r>
            <w:r>
              <w:rPr>
                <w:sz w:val="18"/>
                <w:szCs w:val="18"/>
              </w:rPr>
              <w:t xml:space="preserve"> </w:t>
            </w:r>
            <w:r w:rsidRPr="002732AF">
              <w:rPr>
                <w:sz w:val="18"/>
                <w:szCs w:val="18"/>
              </w:rPr>
              <w:t>üzere üç gruba ayırılır</w:t>
            </w:r>
            <w:r w:rsidR="00492E75">
              <w:rPr>
                <w:sz w:val="18"/>
                <w:szCs w:val="18"/>
              </w:rPr>
              <w:t>.</w:t>
            </w:r>
          </w:p>
          <w:p w14:paraId="1DF58D54" w14:textId="10643D8B" w:rsidR="00BB4A8D" w:rsidRDefault="00246190" w:rsidP="004114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1FB9">
              <w:rPr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3A9945D" wp14:editId="2B5EBBE7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873125</wp:posOffset>
                  </wp:positionV>
                  <wp:extent cx="2986405" cy="1466215"/>
                  <wp:effectExtent l="0" t="0" r="4445" b="635"/>
                  <wp:wrapThrough wrapText="bothSides">
                    <wp:wrapPolygon edited="0">
                      <wp:start x="0" y="0"/>
                      <wp:lineTo x="0" y="21329"/>
                      <wp:lineTo x="21494" y="21329"/>
                      <wp:lineTo x="21494" y="0"/>
                      <wp:lineTo x="0" y="0"/>
                    </wp:wrapPolygon>
                  </wp:wrapThrough>
                  <wp:docPr id="5122" name="Picture 2" descr="C:\Documents and Settings\Administrator\Desktop\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Documents and Settings\Administrator\Desktop\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1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428" w:rsidRPr="00411428">
              <w:rPr>
                <w:sz w:val="18"/>
                <w:szCs w:val="18"/>
              </w:rPr>
              <w:t>Türkiye, zengin bitki türlerine sahipken kapladığı orman alanları bakımından yeterince zengin değildir.</w:t>
            </w:r>
            <w:r w:rsidR="00411428">
              <w:rPr>
                <w:sz w:val="18"/>
                <w:szCs w:val="18"/>
              </w:rPr>
              <w:t xml:space="preserve"> </w:t>
            </w:r>
            <w:r w:rsidR="00411428" w:rsidRPr="00411428">
              <w:rPr>
                <w:sz w:val="18"/>
                <w:szCs w:val="18"/>
              </w:rPr>
              <w:t>Türkiye'nin 2015 yılı itibarıyla sahip olduğu ormanlık alanlar 22,3 milyon hektar olarak tespit edilmiştir. Bu ormanlık</w:t>
            </w:r>
            <w:r w:rsidR="00411428">
              <w:rPr>
                <w:sz w:val="18"/>
                <w:szCs w:val="18"/>
              </w:rPr>
              <w:t xml:space="preserve"> </w:t>
            </w:r>
            <w:r w:rsidR="00411428" w:rsidRPr="00411428">
              <w:rPr>
                <w:sz w:val="18"/>
                <w:szCs w:val="18"/>
              </w:rPr>
              <w:t>alan miktarı ülke genel alanının yaklaşık %28,6’sıdır. Orman varlığında kıyı bölgelerin payı fazla olmakla</w:t>
            </w:r>
            <w:r w:rsidR="00411428">
              <w:rPr>
                <w:sz w:val="18"/>
                <w:szCs w:val="18"/>
              </w:rPr>
              <w:t xml:space="preserve"> </w:t>
            </w:r>
            <w:r w:rsidR="00411428" w:rsidRPr="00411428">
              <w:rPr>
                <w:sz w:val="18"/>
                <w:szCs w:val="18"/>
              </w:rPr>
              <w:t>birlikte ormanların yaklaşık yarısı Akdeniz ve Karadeniz'e paralel uzanan dağlarda bulunur. Böyle bir durumun</w:t>
            </w:r>
            <w:r w:rsidR="00411428">
              <w:rPr>
                <w:sz w:val="18"/>
                <w:szCs w:val="18"/>
              </w:rPr>
              <w:t xml:space="preserve"> </w:t>
            </w:r>
            <w:r w:rsidR="00411428" w:rsidRPr="00411428">
              <w:rPr>
                <w:sz w:val="18"/>
                <w:szCs w:val="18"/>
              </w:rPr>
              <w:t>ortaya çıkmasının nedeni bu dağların denize bakan yamaçlarında yağışın fazla olmasıdır</w:t>
            </w:r>
            <w:r w:rsidR="005D167E">
              <w:rPr>
                <w:sz w:val="18"/>
                <w:szCs w:val="18"/>
              </w:rPr>
              <w:t>.</w:t>
            </w:r>
          </w:p>
          <w:p w14:paraId="28BD585A" w14:textId="3B463B78" w:rsidR="00991FB9" w:rsidRDefault="00991FB9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54559E" w14:textId="77777777" w:rsidR="00991FB9" w:rsidRPr="008A4B9C" w:rsidRDefault="00991FB9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9CE298" w14:textId="02F337E9" w:rsidR="00BB4A8D" w:rsidRDefault="00CE0A66" w:rsidP="00CE0A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0A66">
              <w:rPr>
                <w:sz w:val="18"/>
                <w:szCs w:val="18"/>
              </w:rPr>
              <w:t>Nemli, yarı nemli veya kurakçıl karakterdeki ormanlar, birbirinden farklı cins ve türde ağaçlara sahiptir.</w:t>
            </w:r>
            <w:r>
              <w:rPr>
                <w:sz w:val="18"/>
                <w:szCs w:val="18"/>
              </w:rPr>
              <w:t xml:space="preserve"> </w:t>
            </w:r>
            <w:r w:rsidRPr="00CE0A66">
              <w:rPr>
                <w:sz w:val="18"/>
                <w:szCs w:val="18"/>
              </w:rPr>
              <w:t>Türkiye ormanları geniş ve iğne yapraklı ağaçlardan oluşmakla birlikte bu ağaçların yarıdan fazlasını meşe</w:t>
            </w:r>
            <w:r>
              <w:rPr>
                <w:sz w:val="18"/>
                <w:szCs w:val="18"/>
              </w:rPr>
              <w:t xml:space="preserve"> </w:t>
            </w:r>
            <w:r w:rsidRPr="00CE0A66">
              <w:rPr>
                <w:sz w:val="18"/>
                <w:szCs w:val="18"/>
              </w:rPr>
              <w:t>ve kızılçamlar oluşturur. Ormanları oluşturan en yaygın ağaç türlerinden geniş yapraklılara meşe, kayın,</w:t>
            </w:r>
            <w:r>
              <w:rPr>
                <w:sz w:val="18"/>
                <w:szCs w:val="18"/>
              </w:rPr>
              <w:t xml:space="preserve"> </w:t>
            </w:r>
            <w:r w:rsidRPr="00CE0A66">
              <w:rPr>
                <w:sz w:val="18"/>
                <w:szCs w:val="18"/>
              </w:rPr>
              <w:t>gürgen, ıhlamur, kestane, akçaağaç, kızılağaç, çınar; iğne yapraklılara ise kızılçam, karaçam, sarıçam, ardıç,</w:t>
            </w:r>
            <w:r>
              <w:rPr>
                <w:sz w:val="18"/>
                <w:szCs w:val="18"/>
              </w:rPr>
              <w:t xml:space="preserve"> </w:t>
            </w:r>
            <w:r w:rsidRPr="00CE0A66">
              <w:rPr>
                <w:sz w:val="18"/>
                <w:szCs w:val="18"/>
              </w:rPr>
              <w:t>göknar, sedir ve ladin örnek verilebilir</w:t>
            </w:r>
            <w:r>
              <w:rPr>
                <w:sz w:val="18"/>
                <w:szCs w:val="18"/>
              </w:rPr>
              <w:t>.</w:t>
            </w:r>
          </w:p>
          <w:p w14:paraId="47B4967F" w14:textId="77777777" w:rsidR="00991FB9" w:rsidRPr="008A4B9C" w:rsidRDefault="00991FB9" w:rsidP="00CE0A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00803BA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E3F69D" w14:textId="2AAAB2E0" w:rsidR="00BB4A8D" w:rsidRPr="008A4B9C" w:rsidRDefault="006B3018" w:rsidP="006B3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17960">
              <w:rPr>
                <w:b/>
                <w:bCs/>
                <w:color w:val="FF0000"/>
                <w:sz w:val="18"/>
                <w:szCs w:val="18"/>
              </w:rPr>
              <w:t>Karadeniz ormanları</w:t>
            </w:r>
            <w:r w:rsidRPr="006B3018">
              <w:rPr>
                <w:sz w:val="18"/>
                <w:szCs w:val="18"/>
              </w:rPr>
              <w:t>, Karadeniz ikliminin etkili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olduğu Kuzey Anadolu Dağları'nın denize bakan yamaçları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ile Marmara Denizi'nin kuzey kesimlerinde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dağılış gösterir. Türkiye'nin en gür ormanlarına sahip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olan bu alanlar, orman altı bitki örtüsünün zenginliği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açısından ilk sırada yer almaktadır.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Yaz kuraklığının daha az yaşandığı Karadeniz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ikliminde yağışın bol ve yağış rejiminin kısmen düzenli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olması, buralardaki bitki örtüsüne de yansımıştır.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Dağların kuzeye bakan yamaçlarında gür ormanlar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görülürken güneye bakan yamaçlarında ise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ağaç türleri azalarak ormanlar seyrekleşmektedir.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Kıyıdan dağ yamaçlarına doğru çıkıldıkça sıcaklık ve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yağışta görülen değişimler, burada farklı bitki türlerinin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yetişmesini sağlamıştır. Buna bağlı olarak bitki örtüsünde deniz seviyesinden yükseklere doğru kuşaklar</w:t>
            </w:r>
            <w:r>
              <w:rPr>
                <w:sz w:val="18"/>
                <w:szCs w:val="18"/>
              </w:rPr>
              <w:t xml:space="preserve"> </w:t>
            </w:r>
            <w:r w:rsidRPr="006B3018">
              <w:rPr>
                <w:sz w:val="18"/>
                <w:szCs w:val="18"/>
              </w:rPr>
              <w:t>oluşmuştur</w:t>
            </w:r>
            <w:r>
              <w:rPr>
                <w:sz w:val="18"/>
                <w:szCs w:val="18"/>
              </w:rPr>
              <w:t>.</w:t>
            </w:r>
          </w:p>
          <w:p w14:paraId="164EC87C" w14:textId="0DB162E1" w:rsidR="00BB4A8D" w:rsidRPr="008A4B9C" w:rsidRDefault="00217960" w:rsidP="002179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547A">
              <w:rPr>
                <w:b/>
                <w:bCs/>
                <w:sz w:val="18"/>
                <w:szCs w:val="18"/>
              </w:rPr>
              <w:lastRenderedPageBreak/>
              <w:t>Geniş yapraklı ormanlar kuşağı</w:t>
            </w:r>
            <w:r w:rsidRPr="00217960">
              <w:rPr>
                <w:sz w:val="18"/>
                <w:szCs w:val="18"/>
              </w:rPr>
              <w:t>, Kuzey Anadolu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Dağları'nın Karadeniz'e bakan yamaçlarında kıyıdan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itibaren 1000 metre yüksekliğe kadar çıkar. Bu kuşağı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oluşturan en önemli ağaç türü, kışın yaprağını döken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kayın ağacıdır. Gürgen, kestane, meşe, ıhlamur, dişbudak,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kızılağaç ve titrek kavak bu kuşakta yer alan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diğer ağaç türleridir. Ayrıca geniş yapraklı orman kuşağı,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çeşitli ot ve sarmaşıklardan oluşan çok zengin</w:t>
            </w:r>
            <w:r>
              <w:rPr>
                <w:sz w:val="18"/>
                <w:szCs w:val="18"/>
              </w:rPr>
              <w:t xml:space="preserve"> </w:t>
            </w:r>
            <w:r w:rsidRPr="00217960">
              <w:rPr>
                <w:sz w:val="18"/>
                <w:szCs w:val="18"/>
              </w:rPr>
              <w:t>bir orman altı florasına sahiptir</w:t>
            </w:r>
            <w:r>
              <w:rPr>
                <w:sz w:val="18"/>
                <w:szCs w:val="18"/>
              </w:rPr>
              <w:t>.</w:t>
            </w:r>
          </w:p>
          <w:p w14:paraId="00DC08E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AE334F" w14:textId="7D3FDF1B" w:rsidR="00BB4A8D" w:rsidRDefault="00D8547A" w:rsidP="00D854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1613">
              <w:rPr>
                <w:b/>
                <w:bCs/>
                <w:sz w:val="18"/>
                <w:szCs w:val="18"/>
              </w:rPr>
              <w:t>Karma ormanlar kuşağı</w:t>
            </w:r>
            <w:r w:rsidRPr="00D8547A">
              <w:rPr>
                <w:sz w:val="18"/>
                <w:szCs w:val="18"/>
              </w:rPr>
              <w:t>, geniş ve iğne yapraklı</w:t>
            </w:r>
            <w:r>
              <w:rPr>
                <w:sz w:val="18"/>
                <w:szCs w:val="18"/>
              </w:rPr>
              <w:t xml:space="preserve"> </w:t>
            </w:r>
            <w:r w:rsidRPr="00D8547A">
              <w:rPr>
                <w:sz w:val="18"/>
                <w:szCs w:val="18"/>
              </w:rPr>
              <w:t>ağaçlardan oluşup Kuzey Anadolu Dağları'nın denize</w:t>
            </w:r>
            <w:r>
              <w:rPr>
                <w:sz w:val="18"/>
                <w:szCs w:val="18"/>
              </w:rPr>
              <w:t xml:space="preserve"> </w:t>
            </w:r>
            <w:r w:rsidRPr="00D8547A">
              <w:rPr>
                <w:sz w:val="18"/>
                <w:szCs w:val="18"/>
              </w:rPr>
              <w:t>bakan yamaçlarında genellikle 1000-1500 metreler</w:t>
            </w:r>
            <w:r>
              <w:rPr>
                <w:sz w:val="18"/>
                <w:szCs w:val="18"/>
              </w:rPr>
              <w:t xml:space="preserve"> </w:t>
            </w:r>
            <w:r w:rsidRPr="00D8547A">
              <w:rPr>
                <w:sz w:val="18"/>
                <w:szCs w:val="18"/>
              </w:rPr>
              <w:t>arasında bulunur. Bu kuşakta geniş yapraklı olarak</w:t>
            </w:r>
            <w:r>
              <w:rPr>
                <w:sz w:val="18"/>
                <w:szCs w:val="18"/>
              </w:rPr>
              <w:t xml:space="preserve"> </w:t>
            </w:r>
            <w:r w:rsidRPr="00D8547A">
              <w:rPr>
                <w:sz w:val="18"/>
                <w:szCs w:val="18"/>
              </w:rPr>
              <w:t>kayın ağacı; iğne yapraklı olarak da göknar, ladin, karaçam</w:t>
            </w:r>
            <w:r>
              <w:rPr>
                <w:sz w:val="18"/>
                <w:szCs w:val="18"/>
              </w:rPr>
              <w:t xml:space="preserve"> </w:t>
            </w:r>
            <w:r w:rsidRPr="00D8547A">
              <w:rPr>
                <w:sz w:val="18"/>
                <w:szCs w:val="18"/>
              </w:rPr>
              <w:t>ve sarıçam ağaçları yer alır</w:t>
            </w:r>
            <w:r>
              <w:rPr>
                <w:sz w:val="18"/>
                <w:szCs w:val="18"/>
              </w:rPr>
              <w:t>.</w:t>
            </w:r>
          </w:p>
          <w:p w14:paraId="165F0A4B" w14:textId="77777777" w:rsidR="0067588E" w:rsidRPr="008A4B9C" w:rsidRDefault="0067588E" w:rsidP="00D854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1E737A" w14:textId="20D18C38" w:rsidR="00BB4A8D" w:rsidRPr="008A4B9C" w:rsidRDefault="00F31895" w:rsidP="00F318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4E6">
              <w:rPr>
                <w:b/>
                <w:bCs/>
                <w:sz w:val="18"/>
                <w:szCs w:val="18"/>
              </w:rPr>
              <w:t>İğne yapraklı ormanlar kuşağı</w:t>
            </w:r>
            <w:r w:rsidRPr="00F31895">
              <w:rPr>
                <w:sz w:val="18"/>
                <w:szCs w:val="18"/>
              </w:rPr>
              <w:t>, Karadeniz dağlarının</w:t>
            </w:r>
            <w:r>
              <w:rPr>
                <w:sz w:val="18"/>
                <w:szCs w:val="18"/>
              </w:rPr>
              <w:t xml:space="preserve"> </w:t>
            </w:r>
            <w:r w:rsidRPr="00F31895">
              <w:rPr>
                <w:sz w:val="18"/>
                <w:szCs w:val="18"/>
              </w:rPr>
              <w:t>1500-2000 metreleri arasında yer alan ve geniş</w:t>
            </w:r>
            <w:r>
              <w:rPr>
                <w:sz w:val="18"/>
                <w:szCs w:val="18"/>
              </w:rPr>
              <w:t xml:space="preserve"> </w:t>
            </w:r>
            <w:r w:rsidRPr="00F31895">
              <w:rPr>
                <w:sz w:val="18"/>
                <w:szCs w:val="18"/>
              </w:rPr>
              <w:t>yapraklı ağaçların yetişemediği kesimlerinde görülür.</w:t>
            </w:r>
            <w:r w:rsidR="00CF64E6">
              <w:rPr>
                <w:sz w:val="18"/>
                <w:szCs w:val="18"/>
              </w:rPr>
              <w:t xml:space="preserve"> </w:t>
            </w:r>
            <w:r w:rsidRPr="00F31895">
              <w:rPr>
                <w:sz w:val="18"/>
                <w:szCs w:val="18"/>
              </w:rPr>
              <w:t>Soğuğa dayanıklı iğne yapraklı ağaçlardan oluşan bu</w:t>
            </w:r>
            <w:r w:rsidR="00CF64E6">
              <w:rPr>
                <w:sz w:val="18"/>
                <w:szCs w:val="18"/>
              </w:rPr>
              <w:t xml:space="preserve"> </w:t>
            </w:r>
            <w:r w:rsidRPr="00F31895">
              <w:rPr>
                <w:sz w:val="18"/>
                <w:szCs w:val="18"/>
              </w:rPr>
              <w:t>ormanlarda ladin, karaçam, göknar ve sarıçam yaygın</w:t>
            </w:r>
            <w:r w:rsidR="00CF64E6">
              <w:rPr>
                <w:sz w:val="18"/>
                <w:szCs w:val="18"/>
              </w:rPr>
              <w:t xml:space="preserve"> </w:t>
            </w:r>
            <w:r w:rsidRPr="00F31895">
              <w:rPr>
                <w:sz w:val="18"/>
                <w:szCs w:val="18"/>
              </w:rPr>
              <w:t>olarak bulunur</w:t>
            </w:r>
            <w:r w:rsidR="00CF64E6">
              <w:rPr>
                <w:sz w:val="18"/>
                <w:szCs w:val="18"/>
              </w:rPr>
              <w:t>.</w:t>
            </w:r>
          </w:p>
          <w:p w14:paraId="34CD2997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D73D75" w14:textId="2C59E93E" w:rsidR="00BB4A8D" w:rsidRPr="008A4B9C" w:rsidRDefault="00CF64E6" w:rsidP="00CF6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4E6">
              <w:rPr>
                <w:sz w:val="18"/>
                <w:szCs w:val="18"/>
              </w:rPr>
              <w:t xml:space="preserve">Toros Dağları boyunca görülen </w:t>
            </w:r>
            <w:r w:rsidRPr="00E13B32">
              <w:rPr>
                <w:b/>
                <w:bCs/>
                <w:color w:val="FF0000"/>
                <w:sz w:val="18"/>
                <w:szCs w:val="18"/>
              </w:rPr>
              <w:t>Akdeniz ormanları</w:t>
            </w:r>
            <w:r w:rsidRPr="00CF64E6">
              <w:rPr>
                <w:sz w:val="18"/>
                <w:szCs w:val="18"/>
              </w:rPr>
              <w:t>nda yaz yağışlarının yetersizliği, bitkilerin yaz kuraklığına</w:t>
            </w:r>
            <w:r>
              <w:rPr>
                <w:sz w:val="18"/>
                <w:szCs w:val="18"/>
              </w:rPr>
              <w:t xml:space="preserve"> </w:t>
            </w:r>
            <w:r w:rsidRPr="00CF64E6">
              <w:rPr>
                <w:sz w:val="18"/>
                <w:szCs w:val="18"/>
              </w:rPr>
              <w:t>karşı dayanıklı olmalarını sağlamıştır. Bitki örtüsünün oldukça çeşitli olduğu bu ormanlar iki kuşaktan</w:t>
            </w:r>
            <w:r>
              <w:rPr>
                <w:sz w:val="18"/>
                <w:szCs w:val="18"/>
              </w:rPr>
              <w:t xml:space="preserve"> </w:t>
            </w:r>
            <w:r w:rsidRPr="00CF64E6">
              <w:rPr>
                <w:sz w:val="18"/>
                <w:szCs w:val="18"/>
              </w:rPr>
              <w:t>oluşmaktadır.</w:t>
            </w:r>
          </w:p>
          <w:p w14:paraId="385E9029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4A01BFD" w14:textId="3D6E4C96" w:rsidR="00BB4A8D" w:rsidRPr="008A4B9C" w:rsidRDefault="00550720" w:rsidP="005507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3B32">
              <w:rPr>
                <w:b/>
                <w:bCs/>
                <w:color w:val="000000" w:themeColor="text1"/>
                <w:sz w:val="18"/>
                <w:szCs w:val="18"/>
              </w:rPr>
              <w:t>Asıl Akdeniz kuşağı ormanları</w:t>
            </w:r>
            <w:r w:rsidRPr="00550720">
              <w:rPr>
                <w:sz w:val="18"/>
                <w:szCs w:val="18"/>
              </w:rPr>
              <w:t>, Akdeniz ikliminin tipik özelliklerinin görüldüğü Toros Dağları'nın denize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bakan yamaçlarında görülmekte olup daha çok kızılçam ağaçlarından oluşur</w:t>
            </w:r>
            <w:r>
              <w:rPr>
                <w:sz w:val="18"/>
                <w:szCs w:val="18"/>
              </w:rPr>
              <w:t xml:space="preserve">. </w:t>
            </w:r>
            <w:r w:rsidRPr="00550720">
              <w:rPr>
                <w:sz w:val="18"/>
                <w:szCs w:val="18"/>
              </w:rPr>
              <w:t>Kızılçam ormanlarının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orman altı bitkisi olan maki</w:t>
            </w:r>
            <w:r>
              <w:rPr>
                <w:sz w:val="18"/>
                <w:szCs w:val="18"/>
              </w:rPr>
              <w:t xml:space="preserve">, </w:t>
            </w:r>
            <w:r w:rsidRPr="00550720">
              <w:rPr>
                <w:sz w:val="18"/>
                <w:szCs w:val="18"/>
              </w:rPr>
              <w:t>kızılçamların tahrip edildiği alanlarda görülür. Hızlı büyüyen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ve ülkemizdeki en yaygın ağaçlardan olan kızılçamlar, reçinesi fazla olduğu için kolay yanar. Bu nedenle en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fazla orman yangınları, kızılçam ağaçlarının bulunduğu alanlarda görülür. Akdeniz kıyı kuşağından yükseklere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doğru çıkıldıkça meşe ormanlarına, Köyceğiz Gölü çevresinde de sığla ağaçlarından oluşan ormanlara</w:t>
            </w:r>
            <w:r>
              <w:rPr>
                <w:sz w:val="18"/>
                <w:szCs w:val="18"/>
              </w:rPr>
              <w:t xml:space="preserve"> </w:t>
            </w:r>
            <w:r w:rsidRPr="00550720">
              <w:rPr>
                <w:sz w:val="18"/>
                <w:szCs w:val="18"/>
              </w:rPr>
              <w:t>rastlanır.</w:t>
            </w:r>
          </w:p>
          <w:p w14:paraId="3E2B38B3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43B4DA" w14:textId="263D6911" w:rsidR="00BB4A8D" w:rsidRPr="008A4B9C" w:rsidRDefault="00E13B32" w:rsidP="00E13B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0135">
              <w:rPr>
                <w:b/>
                <w:bCs/>
                <w:sz w:val="18"/>
                <w:szCs w:val="18"/>
              </w:rPr>
              <w:t>Akdeniz dağ kuşağı ormanları</w:t>
            </w:r>
            <w:r w:rsidRPr="00E13B32">
              <w:rPr>
                <w:sz w:val="18"/>
                <w:szCs w:val="18"/>
              </w:rPr>
              <w:t>, kızılçam orman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kuşağı üzerinde 1000-2000 metreler arasında oluşup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değişik karaktere sahip ormanlar şeklinde gelişmiştir.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Akdeniz kıyılarından Toros Dağları'nın yüksek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kesimlerine doğru sıcaklık azalırken yağış artar. Bu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kuşak; Toros Dağları'nın Akdeniz'e bakan kesimlerinde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sedir, göknar, karaçam ve ardıçlardan oluşan</w:t>
            </w:r>
            <w:r>
              <w:rPr>
                <w:sz w:val="18"/>
                <w:szCs w:val="18"/>
              </w:rPr>
              <w:t xml:space="preserve"> </w:t>
            </w:r>
            <w:r w:rsidRPr="00E13B32">
              <w:rPr>
                <w:sz w:val="18"/>
                <w:szCs w:val="18"/>
              </w:rPr>
              <w:t>iğne yapraklı ormanlar şeklinde yer almaktadır</w:t>
            </w:r>
            <w:r>
              <w:rPr>
                <w:sz w:val="18"/>
                <w:szCs w:val="18"/>
              </w:rPr>
              <w:t>.</w:t>
            </w:r>
          </w:p>
          <w:p w14:paraId="0847C599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D753AD7" w14:textId="13877D68" w:rsidR="00F3597D" w:rsidRPr="00F3597D" w:rsidRDefault="00F3597D" w:rsidP="00F359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597D">
              <w:rPr>
                <w:b/>
                <w:bCs/>
                <w:color w:val="FF0000"/>
                <w:sz w:val="18"/>
                <w:szCs w:val="18"/>
              </w:rPr>
              <w:t>Batı Anadolu ormanları</w:t>
            </w:r>
            <w:r w:rsidRPr="00F3597D">
              <w:rPr>
                <w:sz w:val="18"/>
                <w:szCs w:val="18"/>
              </w:rPr>
              <w:t>, Karadeniz ve Akdeniz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iklimine ait bitki türlerinden oluşup özellikle Ege ile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Güney Marmara kıyılarında görülür. Yükseltiye bağlı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olarak kızılçam, meşe ve karaçam gibi türlerden oluşan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Batı Anadolu ormanları, ülkemizde geniş bir alan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kaplar. Kıyılarda kızılçam, 1000 metreden sonra ise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karaçam ve meşe ormanları yaygındır. Uludağ, Kazdağları,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Samanlı Dağları ve Murat Dağları'nın kuzeye</w:t>
            </w:r>
          </w:p>
          <w:p w14:paraId="3AF5E0FF" w14:textId="74DA7904" w:rsidR="00BB4A8D" w:rsidRPr="008A4B9C" w:rsidRDefault="00F3597D" w:rsidP="00F359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597D">
              <w:rPr>
                <w:sz w:val="18"/>
                <w:szCs w:val="18"/>
              </w:rPr>
              <w:t>bakan yamaçlarında Karadeniz'e özgü kayın ağaçlarına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da rastlanır. Ayrıca Uludağ, ülkemizde en zengin</w:t>
            </w:r>
            <w:r>
              <w:rPr>
                <w:sz w:val="18"/>
                <w:szCs w:val="18"/>
              </w:rPr>
              <w:t xml:space="preserve"> </w:t>
            </w:r>
            <w:r w:rsidRPr="00F3597D">
              <w:rPr>
                <w:sz w:val="18"/>
                <w:szCs w:val="18"/>
              </w:rPr>
              <w:t>bitki çeşitliliğinin görüldüğü dağlardan biridir</w:t>
            </w:r>
            <w:r>
              <w:rPr>
                <w:sz w:val="18"/>
                <w:szCs w:val="18"/>
              </w:rPr>
              <w:t>.</w:t>
            </w:r>
          </w:p>
          <w:p w14:paraId="042236DB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C95C1A" w14:textId="52EA69DF" w:rsidR="00BB4A8D" w:rsidRPr="008A4B9C" w:rsidRDefault="00005117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117">
              <w:rPr>
                <w:sz w:val="18"/>
                <w:szCs w:val="18"/>
              </w:rPr>
              <w:t>Güney ve Kuzey Anadolu dağ sıralarının iç bölgelere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yağışın ulaşmasını engellemesi, bu bölgelerin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yağış azlığından dolayı orman bakımından fakir olmasına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neden olmuştur. Ormanlara iç kesimlerde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yükselti ve engebeye bağlı olarak yağışın arttığı dağların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yamaçlarında rastlanır. Bu alanlardaki ormanlarda</w:t>
            </w:r>
            <w:r>
              <w:rPr>
                <w:sz w:val="18"/>
                <w:szCs w:val="18"/>
              </w:rPr>
              <w:t xml:space="preserve"> </w:t>
            </w:r>
            <w:r w:rsidRPr="00005117">
              <w:rPr>
                <w:sz w:val="18"/>
                <w:szCs w:val="18"/>
              </w:rPr>
              <w:t>en fazla bulunan ağaçlar meşe, ardıç ve karaçamdır.</w:t>
            </w:r>
          </w:p>
          <w:p w14:paraId="6CE8061B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683072" w14:textId="4362BF2E" w:rsidR="00BB4A8D" w:rsidRPr="008A4B9C" w:rsidRDefault="00D56382" w:rsidP="00D563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6382">
              <w:rPr>
                <w:b/>
                <w:bCs/>
                <w:color w:val="FF0000"/>
                <w:sz w:val="18"/>
                <w:szCs w:val="18"/>
              </w:rPr>
              <w:t>Doğu Anadolu’daki ormanlar</w:t>
            </w:r>
            <w:r w:rsidRPr="00D56382">
              <w:rPr>
                <w:color w:val="FF0000"/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Orta Anadolu’daki</w:t>
            </w:r>
            <w:r>
              <w:rPr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ormanlara göre daha yükseklerde başlar. Bu bölgede</w:t>
            </w:r>
            <w:r>
              <w:rPr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meşe ormanları, Sarıkamış çevresinde ise sarıçam</w:t>
            </w:r>
            <w:r>
              <w:rPr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ormanları yaygındır</w:t>
            </w:r>
            <w:r>
              <w:rPr>
                <w:sz w:val="18"/>
                <w:szCs w:val="18"/>
              </w:rPr>
              <w:t xml:space="preserve">. </w:t>
            </w:r>
            <w:r w:rsidRPr="00D56382">
              <w:rPr>
                <w:sz w:val="18"/>
                <w:szCs w:val="18"/>
              </w:rPr>
              <w:t>Güneydoğu Anadolu,</w:t>
            </w:r>
            <w:r>
              <w:rPr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ülkemizde kuraklığın en belirgin yaşandığı yer</w:t>
            </w:r>
            <w:r>
              <w:rPr>
                <w:sz w:val="18"/>
                <w:szCs w:val="18"/>
              </w:rPr>
              <w:t xml:space="preserve"> </w:t>
            </w:r>
            <w:r w:rsidRPr="00D56382">
              <w:rPr>
                <w:sz w:val="18"/>
                <w:szCs w:val="18"/>
              </w:rPr>
              <w:t>olduğu için burada orman alanları oldukça azdır.</w:t>
            </w:r>
          </w:p>
          <w:p w14:paraId="1E751767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2BB399" w14:textId="75317703" w:rsidR="00BB4A8D" w:rsidRPr="008A4B9C" w:rsidRDefault="00444CE2" w:rsidP="00444C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4CE2">
              <w:rPr>
                <w:b/>
                <w:bCs/>
                <w:color w:val="7030A0"/>
                <w:sz w:val="18"/>
                <w:szCs w:val="18"/>
              </w:rPr>
              <w:t>Anıt Ağaç:</w:t>
            </w:r>
            <w:r w:rsidRPr="00444CE2">
              <w:rPr>
                <w:color w:val="7030A0"/>
                <w:sz w:val="18"/>
                <w:szCs w:val="18"/>
              </w:rPr>
              <w:t xml:space="preserve"> </w:t>
            </w:r>
            <w:r w:rsidRPr="00444CE2">
              <w:rPr>
                <w:sz w:val="18"/>
                <w:szCs w:val="18"/>
              </w:rPr>
              <w:t>Yaş, çap ve boy itibarıyla kendi türünün alışılagelmiş ölçüleri üzerinde boyutlara ulaşan; yöre</w:t>
            </w:r>
            <w:r>
              <w:rPr>
                <w:sz w:val="18"/>
                <w:szCs w:val="18"/>
              </w:rPr>
              <w:t xml:space="preserve"> </w:t>
            </w:r>
            <w:r w:rsidRPr="00444CE2">
              <w:rPr>
                <w:sz w:val="18"/>
                <w:szCs w:val="18"/>
              </w:rPr>
              <w:t>tarihi, kültür ve folklorunda özel yeri bulunan; geçmiş ile günümüz, günümüz ile gelecek arasında iletişim</w:t>
            </w:r>
            <w:r>
              <w:rPr>
                <w:sz w:val="18"/>
                <w:szCs w:val="18"/>
              </w:rPr>
              <w:t xml:space="preserve"> </w:t>
            </w:r>
            <w:r w:rsidRPr="00444CE2">
              <w:rPr>
                <w:sz w:val="18"/>
                <w:szCs w:val="18"/>
              </w:rPr>
              <w:t>sağlayabilecek uzunlukta doğal ömre sahip ağaçlara denir.</w:t>
            </w:r>
          </w:p>
          <w:p w14:paraId="202DB449" w14:textId="6B62547C" w:rsidR="00E23785" w:rsidRPr="008A4B9C" w:rsidRDefault="0067588E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88E">
              <w:rPr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C4BCE93" wp14:editId="08819F7F">
                  <wp:simplePos x="0" y="0"/>
                  <wp:positionH relativeFrom="column">
                    <wp:posOffset>4379595</wp:posOffset>
                  </wp:positionH>
                  <wp:positionV relativeFrom="paragraph">
                    <wp:posOffset>110490</wp:posOffset>
                  </wp:positionV>
                  <wp:extent cx="2159000" cy="1072515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346" y="21101"/>
                      <wp:lineTo x="21346" y="0"/>
                      <wp:lineTo x="0" y="0"/>
                    </wp:wrapPolygon>
                  </wp:wrapThrough>
                  <wp:docPr id="6" name="Picture 2" descr="C:\Documents and Settings\Administrator\Desktop\m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Documents and Settings\Administrator\Desktop\m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B6BFE" w14:textId="79AE5AE1" w:rsidR="00E23785" w:rsidRDefault="00595A12" w:rsidP="00595A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95A12">
              <w:rPr>
                <w:sz w:val="18"/>
                <w:szCs w:val="18"/>
              </w:rPr>
              <w:t>Çoğunlukla ormanların tahrip edilmesiyle ortaya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çıkan çalılar ülkemizde geniş alan kaplar. Çalı türlerinden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 xml:space="preserve">biri olan </w:t>
            </w:r>
            <w:r w:rsidRPr="0067588E">
              <w:rPr>
                <w:b/>
                <w:bCs/>
                <w:color w:val="FF0000"/>
                <w:sz w:val="18"/>
                <w:szCs w:val="18"/>
              </w:rPr>
              <w:t>makiler</w:t>
            </w:r>
            <w:r w:rsidRPr="00595A12">
              <w:rPr>
                <w:sz w:val="18"/>
                <w:szCs w:val="18"/>
              </w:rPr>
              <w:t>, Akdeniz iklim koşulları altında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bodur ağaç ve çalılardan oluşan bitki topluluğudur</w:t>
            </w:r>
            <w:r>
              <w:rPr>
                <w:sz w:val="18"/>
                <w:szCs w:val="18"/>
              </w:rPr>
              <w:t>.</w:t>
            </w:r>
            <w:r w:rsidR="00497762"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Akdeniz ikliminin tipik (birincil)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bitki örtüsü olan kızılçam ormanları, insanlar tarafından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sürekli tahrip edilmektedir. Bu nedenle kızılçamların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tahrip edildiği sahalarda orman altı bitkisi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olarak bulunan ve ikincil bitki topluluğu olan makiler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yetişmektedir. Ülkemizde kızılçam ve makilere Güney</w:t>
            </w:r>
            <w:r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ve Batı Anadolu'da özellikle de Akdeniz, Ege ve</w:t>
            </w:r>
            <w:r w:rsidR="00D5641F">
              <w:rPr>
                <w:sz w:val="18"/>
                <w:szCs w:val="18"/>
              </w:rPr>
              <w:t xml:space="preserve"> </w:t>
            </w:r>
            <w:r w:rsidRPr="00595A12">
              <w:rPr>
                <w:sz w:val="18"/>
                <w:szCs w:val="18"/>
              </w:rPr>
              <w:t>Marmara Denizi kıyılarında rastlanır</w:t>
            </w:r>
            <w:r>
              <w:rPr>
                <w:sz w:val="18"/>
                <w:szCs w:val="18"/>
              </w:rPr>
              <w:t>.</w:t>
            </w:r>
          </w:p>
          <w:p w14:paraId="33757E1E" w14:textId="735A5456" w:rsidR="0067588E" w:rsidRPr="008A4B9C" w:rsidRDefault="0067588E" w:rsidP="00595A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CB8887" w14:textId="09F5BBA8" w:rsidR="00642699" w:rsidRPr="0067588E" w:rsidRDefault="0067588E" w:rsidP="00642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67588E">
              <w:rPr>
                <w:b/>
                <w:bCs/>
                <w:color w:val="7030A0"/>
                <w:sz w:val="16"/>
                <w:szCs w:val="16"/>
              </w:rPr>
              <w:t>Kızılçam ve makilerin ülkemizdeki dağılışı</w:t>
            </w:r>
          </w:p>
          <w:p w14:paraId="34EF8CA9" w14:textId="77777777" w:rsidR="0067588E" w:rsidRDefault="0067588E" w:rsidP="006426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4AD93A" w14:textId="7F13A0F2" w:rsidR="00E23785" w:rsidRPr="008A4B9C" w:rsidRDefault="00642699" w:rsidP="006426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2699">
              <w:rPr>
                <w:b/>
                <w:bCs/>
                <w:color w:val="7030A0"/>
                <w:sz w:val="20"/>
                <w:szCs w:val="20"/>
              </w:rPr>
              <w:t>Not:</w:t>
            </w:r>
            <w:r w:rsidRPr="00642699">
              <w:rPr>
                <w:color w:val="7030A0"/>
                <w:sz w:val="20"/>
                <w:szCs w:val="20"/>
              </w:rPr>
              <w:t xml:space="preserve"> </w:t>
            </w:r>
            <w:r w:rsidRPr="00642699">
              <w:rPr>
                <w:sz w:val="18"/>
                <w:szCs w:val="18"/>
              </w:rPr>
              <w:t>Makilerin yüksekliği deniz seviyesinden itibaren Akdeniz kıyılarında 800-1000 metreye, Ege kıyılarında</w:t>
            </w:r>
            <w:r>
              <w:rPr>
                <w:sz w:val="18"/>
                <w:szCs w:val="18"/>
              </w:rPr>
              <w:t xml:space="preserve"> </w:t>
            </w:r>
            <w:r w:rsidRPr="00642699">
              <w:rPr>
                <w:sz w:val="18"/>
                <w:szCs w:val="18"/>
              </w:rPr>
              <w:t>500-700 metreye, Marmara kıyılarında da 300-400 metreye kadar çıkmaktadır. Bunun nedeni enleme bağlı</w:t>
            </w:r>
            <w:r>
              <w:rPr>
                <w:sz w:val="18"/>
                <w:szCs w:val="18"/>
              </w:rPr>
              <w:t xml:space="preserve"> </w:t>
            </w:r>
            <w:r w:rsidRPr="00642699">
              <w:rPr>
                <w:sz w:val="18"/>
                <w:szCs w:val="18"/>
              </w:rPr>
              <w:t>olarak sıcaklığın değişmesidir.</w:t>
            </w:r>
          </w:p>
          <w:p w14:paraId="492613A3" w14:textId="54CC2F1A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7174DC6" w14:textId="4ADA655E" w:rsidR="00BB4A8D" w:rsidRPr="008A4B9C" w:rsidRDefault="00721191" w:rsidP="007211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1191">
              <w:rPr>
                <w:b/>
                <w:bCs/>
                <w:color w:val="FF0000"/>
                <w:sz w:val="18"/>
                <w:szCs w:val="18"/>
              </w:rPr>
              <w:t>Garig (frigana)</w:t>
            </w:r>
            <w:r w:rsidRPr="00721191">
              <w:rPr>
                <w:sz w:val="18"/>
                <w:szCs w:val="18"/>
              </w:rPr>
              <w:t>, makilerin tahrip edilmesiyle seyrek</w:t>
            </w:r>
            <w:r>
              <w:rPr>
                <w:sz w:val="18"/>
                <w:szCs w:val="18"/>
              </w:rPr>
              <w:t xml:space="preserve"> </w:t>
            </w:r>
            <w:r w:rsidRPr="00721191">
              <w:rPr>
                <w:sz w:val="18"/>
                <w:szCs w:val="18"/>
              </w:rPr>
              <w:t>çalılardan oluşan ve kısa boylu olan bitki topluluğudur.</w:t>
            </w:r>
            <w:r>
              <w:rPr>
                <w:sz w:val="18"/>
                <w:szCs w:val="18"/>
              </w:rPr>
              <w:t xml:space="preserve"> </w:t>
            </w:r>
            <w:r w:rsidRPr="00721191">
              <w:rPr>
                <w:sz w:val="18"/>
                <w:szCs w:val="18"/>
              </w:rPr>
              <w:t>Genellikle eğimli sahalarda oluşan bu çalıların</w:t>
            </w:r>
            <w:r>
              <w:rPr>
                <w:sz w:val="18"/>
                <w:szCs w:val="18"/>
              </w:rPr>
              <w:t xml:space="preserve"> </w:t>
            </w:r>
            <w:r w:rsidRPr="00721191">
              <w:rPr>
                <w:sz w:val="18"/>
                <w:szCs w:val="18"/>
              </w:rPr>
              <w:t>başlıca türleri; tüylü laden, lavanta, yasemin,</w:t>
            </w:r>
            <w:r>
              <w:rPr>
                <w:sz w:val="18"/>
                <w:szCs w:val="18"/>
              </w:rPr>
              <w:t xml:space="preserve"> </w:t>
            </w:r>
            <w:r w:rsidRPr="00721191">
              <w:rPr>
                <w:sz w:val="18"/>
                <w:szCs w:val="18"/>
              </w:rPr>
              <w:t>kekik, funda, kermez meşesi ve süpürge çalısıdır. Ülkemizde gariglere Akdeniz ve Ege</w:t>
            </w:r>
            <w:r>
              <w:rPr>
                <w:sz w:val="18"/>
                <w:szCs w:val="18"/>
              </w:rPr>
              <w:t xml:space="preserve"> </w:t>
            </w:r>
            <w:r w:rsidRPr="00721191">
              <w:rPr>
                <w:sz w:val="18"/>
                <w:szCs w:val="18"/>
              </w:rPr>
              <w:t>Denizi kıyılarında rastlanmaktadır.</w:t>
            </w:r>
          </w:p>
          <w:p w14:paraId="536197D1" w14:textId="2C7721BB" w:rsidR="00E23785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155CBB0" w14:textId="7ADC1A07" w:rsidR="00EC2DAB" w:rsidRDefault="002A40FF" w:rsidP="002A40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40FF">
              <w:rPr>
                <w:b/>
                <w:bCs/>
                <w:color w:val="FF0000"/>
                <w:sz w:val="18"/>
                <w:szCs w:val="18"/>
              </w:rPr>
              <w:t>Psödomaki (yalancı maki)</w:t>
            </w:r>
            <w:r w:rsidRPr="002A40FF">
              <w:rPr>
                <w:sz w:val="18"/>
                <w:szCs w:val="18"/>
              </w:rPr>
              <w:t>, özellikle nemli iklim koşullarında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ormanların tahribi sonucu deniz kıyısındanbaşlayarak 200-300 metrelere kadar yükselen kuşakta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yer alan çalılardır. Makiye benzeyen psödomakiler;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kışın yaprağını döken kızılcık, böğürtlen, yabani elma,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yabani erik, üvez, fındık ve orman gülü ile aynı mevsimde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yaprağını dökmeyen sandal, defne, akçakesme,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koca yemiş gibi maki elemanlarından oluşur</w:t>
            </w:r>
            <w:r>
              <w:rPr>
                <w:sz w:val="18"/>
                <w:szCs w:val="18"/>
              </w:rPr>
              <w:t xml:space="preserve">. </w:t>
            </w:r>
            <w:r w:rsidRPr="002A40FF">
              <w:rPr>
                <w:sz w:val="18"/>
                <w:szCs w:val="18"/>
              </w:rPr>
              <w:t>Ülkemizde psödomakilere Karadeniz kıyılarında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rastlanmaktadır.</w:t>
            </w:r>
          </w:p>
          <w:p w14:paraId="1540C36B" w14:textId="70958CFA" w:rsidR="00EC2DAB" w:rsidRDefault="00EC2DAB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3DE2F9" w14:textId="278BE255" w:rsidR="00EC2DAB" w:rsidRPr="008A4B9C" w:rsidRDefault="002A40FF" w:rsidP="002A40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40FF">
              <w:rPr>
                <w:sz w:val="18"/>
                <w:szCs w:val="18"/>
              </w:rPr>
              <w:t>Coğrafi koşulların (sıcaklık, yağış, toprak vb.) ağaç veya çalı yetişmesine imkân tanımadığı alanlarda çeşitli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ot toplulukları oluşur. Türkiye'de bu bitkiler daha çok iç kesimler ile yüksek alanlarda görülür</w:t>
            </w:r>
            <w:r>
              <w:rPr>
                <w:sz w:val="18"/>
                <w:szCs w:val="18"/>
              </w:rPr>
              <w:t xml:space="preserve">. </w:t>
            </w:r>
            <w:r w:rsidRPr="002A40FF">
              <w:rPr>
                <w:sz w:val="18"/>
                <w:szCs w:val="18"/>
              </w:rPr>
              <w:t>Ülkemizde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görülen ot toplulukları bozkır ve çayırlardır.</w:t>
            </w:r>
          </w:p>
          <w:p w14:paraId="34EEE7AC" w14:textId="4C3A7033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236D6D7" w14:textId="1AD186FC" w:rsidR="00E23785" w:rsidRDefault="002A40FF" w:rsidP="002A40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F32">
              <w:rPr>
                <w:b/>
                <w:bCs/>
                <w:color w:val="FF0000"/>
                <w:sz w:val="18"/>
                <w:szCs w:val="18"/>
              </w:rPr>
              <w:t>Bozkır (step)</w:t>
            </w:r>
            <w:r w:rsidRPr="002A40FF">
              <w:rPr>
                <w:sz w:val="18"/>
                <w:szCs w:val="18"/>
              </w:rPr>
              <w:t>, kurak ve yarı kurak iklim bölgelerinde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ilkbahar yağışları ile yeşeren, yaz kuraklığı ile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de sararan kısa boylu ot topluluklarıdır. Bu bitkiler; İç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Anadolu, Doğu Anadolu, Güneydoğu Anadolu, Trakya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(Ergene Havzası) ve İç Batı Anadolu'da yaygın olarak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görülür. Geven, yavşan otu, çoban yastığı, gelincik,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sığırkuyruğu, adaçayı, üzerlik, çayır üçgülü, kılıç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otu ve çakır dikeni ülkemizde görülen başlıca bozkır</w:t>
            </w:r>
            <w:r>
              <w:rPr>
                <w:sz w:val="18"/>
                <w:szCs w:val="18"/>
              </w:rPr>
              <w:t xml:space="preserve"> </w:t>
            </w:r>
            <w:r w:rsidRPr="002A40FF">
              <w:rPr>
                <w:sz w:val="18"/>
                <w:szCs w:val="18"/>
              </w:rPr>
              <w:t>türleridir</w:t>
            </w:r>
            <w:r w:rsidR="00CD4F98">
              <w:rPr>
                <w:sz w:val="18"/>
                <w:szCs w:val="18"/>
              </w:rPr>
              <w:t>.</w:t>
            </w:r>
          </w:p>
          <w:p w14:paraId="3957B9C3" w14:textId="757E4C3F" w:rsidR="00CD4F98" w:rsidRDefault="00CD4F98" w:rsidP="002A40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4007FF" w14:textId="77777777" w:rsidR="00CD4F98" w:rsidRPr="008A4B9C" w:rsidRDefault="00CD4F98" w:rsidP="002A40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1C9D9E1" w14:textId="20D62030" w:rsidR="00BB4A8D" w:rsidRDefault="003D2D6D" w:rsidP="003D2D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2D6D">
              <w:rPr>
                <w:sz w:val="18"/>
                <w:szCs w:val="18"/>
              </w:rPr>
              <w:lastRenderedPageBreak/>
              <w:t>Asırlar boyu süregelen tahribat sonucunda iç bölgelerdeki karaçam, meşe ve ardıç ormanları ot formasyonuna</w:t>
            </w:r>
            <w:r>
              <w:rPr>
                <w:sz w:val="18"/>
                <w:szCs w:val="18"/>
              </w:rPr>
              <w:t xml:space="preserve"> </w:t>
            </w:r>
            <w:r w:rsidRPr="003D2D6D">
              <w:rPr>
                <w:sz w:val="18"/>
                <w:szCs w:val="18"/>
              </w:rPr>
              <w:t>dönüşmüştür. Trakya, Batı Anadolu'nun iç kesimleri ve İç Anadolu'nun yüksek kesimlerinde görülen</w:t>
            </w:r>
            <w:r>
              <w:rPr>
                <w:sz w:val="18"/>
                <w:szCs w:val="18"/>
              </w:rPr>
              <w:t xml:space="preserve"> </w:t>
            </w:r>
            <w:r w:rsidRPr="00C620D7">
              <w:rPr>
                <w:b/>
                <w:bCs/>
                <w:sz w:val="18"/>
                <w:szCs w:val="18"/>
              </w:rPr>
              <w:t>antropojen bozkırlara "ağaçlı bozkır"</w:t>
            </w:r>
            <w:r w:rsidRPr="003D2D6D">
              <w:rPr>
                <w:sz w:val="18"/>
                <w:szCs w:val="18"/>
              </w:rPr>
              <w:t xml:space="preserve"> adı da verilmektedir. Türkiye'deki bozkırlar genellikle bu şekilde</w:t>
            </w:r>
            <w:r>
              <w:rPr>
                <w:sz w:val="18"/>
                <w:szCs w:val="18"/>
              </w:rPr>
              <w:t xml:space="preserve"> </w:t>
            </w:r>
            <w:r w:rsidRPr="003D2D6D">
              <w:rPr>
                <w:sz w:val="18"/>
                <w:szCs w:val="18"/>
              </w:rPr>
              <w:t>oluşmuştur. Ormanların tahrip edilmesi sonucu oluşan antropojen bozkır alanlarında yer yer ormanlara da</w:t>
            </w:r>
            <w:r>
              <w:rPr>
                <w:sz w:val="18"/>
                <w:szCs w:val="18"/>
              </w:rPr>
              <w:t xml:space="preserve"> </w:t>
            </w:r>
            <w:r w:rsidRPr="003D2D6D">
              <w:rPr>
                <w:sz w:val="18"/>
                <w:szCs w:val="18"/>
              </w:rPr>
              <w:t>rastlanır</w:t>
            </w:r>
            <w:r>
              <w:rPr>
                <w:sz w:val="18"/>
                <w:szCs w:val="18"/>
              </w:rPr>
              <w:t>.</w:t>
            </w:r>
          </w:p>
          <w:p w14:paraId="519DA40C" w14:textId="77777777" w:rsidR="00D76ED5" w:rsidRPr="008A4B9C" w:rsidRDefault="00D76ED5" w:rsidP="003D2D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A3C2B8" w14:textId="649DF6E9" w:rsidR="00BB4A8D" w:rsidRPr="008A4B9C" w:rsidRDefault="00D76ED5" w:rsidP="00D76E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3D01">
              <w:rPr>
                <w:b/>
                <w:bCs/>
                <w:color w:val="FF0000"/>
                <w:sz w:val="18"/>
                <w:szCs w:val="18"/>
              </w:rPr>
              <w:t>Çayırlar</w:t>
            </w:r>
            <w:r w:rsidRPr="00D76ED5">
              <w:rPr>
                <w:sz w:val="18"/>
                <w:szCs w:val="18"/>
              </w:rPr>
              <w:t>, genel olarak dağlarımızın ağaç yetişme sınırının üst kesimlerinde yaygındır. Düşük sıcaklıkların</w:t>
            </w:r>
            <w:r>
              <w:rPr>
                <w:sz w:val="18"/>
                <w:szCs w:val="18"/>
              </w:rPr>
              <w:t xml:space="preserve"> </w:t>
            </w:r>
            <w:r w:rsidRPr="00D76ED5">
              <w:rPr>
                <w:sz w:val="18"/>
                <w:szCs w:val="18"/>
              </w:rPr>
              <w:t>görüldüğü bu alanlarda ilkbaharda yeşerip yazın da yeşil kalan ot ve bazı çiçeklerden oluşan alpin çayırları</w:t>
            </w:r>
            <w:r>
              <w:rPr>
                <w:sz w:val="18"/>
                <w:szCs w:val="18"/>
              </w:rPr>
              <w:t xml:space="preserve"> </w:t>
            </w:r>
            <w:r w:rsidRPr="00D76ED5">
              <w:rPr>
                <w:sz w:val="18"/>
                <w:szCs w:val="18"/>
              </w:rPr>
              <w:t>görülmektedir. Geven, yumak, tarla sarmaşığı, düğün çiçeği, sarı çiçekli orman gülü, mine, kardelen, taşkıran</w:t>
            </w:r>
            <w:r>
              <w:rPr>
                <w:sz w:val="18"/>
                <w:szCs w:val="18"/>
              </w:rPr>
              <w:t xml:space="preserve"> </w:t>
            </w:r>
            <w:r w:rsidRPr="00D76ED5">
              <w:rPr>
                <w:sz w:val="18"/>
                <w:szCs w:val="18"/>
              </w:rPr>
              <w:t>ve yıldız çayırın başlıca türleridir. Kuzey Anadolu Dağları, Toros Dağları, Erzurum, Kars ve Ardahan platoları</w:t>
            </w:r>
            <w:r>
              <w:rPr>
                <w:sz w:val="18"/>
                <w:szCs w:val="18"/>
              </w:rPr>
              <w:t xml:space="preserve"> </w:t>
            </w:r>
            <w:r w:rsidRPr="00D76ED5">
              <w:rPr>
                <w:sz w:val="18"/>
                <w:szCs w:val="18"/>
              </w:rPr>
              <w:t>çayırların bulunduğu alanlara örnek verilebilir</w:t>
            </w:r>
            <w:r>
              <w:rPr>
                <w:sz w:val="18"/>
                <w:szCs w:val="18"/>
              </w:rPr>
              <w:t>.</w:t>
            </w:r>
          </w:p>
          <w:p w14:paraId="7F1438F2" w14:textId="45D99107" w:rsidR="00B96522" w:rsidRDefault="00B9652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075EB9" w14:textId="77777777" w:rsidR="00B96522" w:rsidRPr="00B1611B" w:rsidRDefault="00B96522" w:rsidP="00B9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1611B">
              <w:rPr>
                <w:b/>
                <w:bCs/>
                <w:color w:val="FF0000"/>
                <w:sz w:val="22"/>
                <w:szCs w:val="22"/>
              </w:rPr>
              <w:t>Türkiye’de Bitkilerden Yararlanma</w:t>
            </w:r>
          </w:p>
          <w:p w14:paraId="5046C411" w14:textId="3D9EDB6E" w:rsidR="00B96522" w:rsidRDefault="00B9652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522">
              <w:rPr>
                <w:sz w:val="18"/>
                <w:szCs w:val="18"/>
              </w:rPr>
              <w:t>Bitkiler; insanlara gıda, yakıt, barınak, temiz hava, su, ilaç, gelir kaynağı, istihdam, dinlenme ve peyzaj gibi</w:t>
            </w:r>
            <w:r>
              <w:rPr>
                <w:sz w:val="18"/>
                <w:szCs w:val="18"/>
              </w:rPr>
              <w:t xml:space="preserve"> </w:t>
            </w:r>
            <w:r w:rsidRPr="00B96522">
              <w:rPr>
                <w:sz w:val="18"/>
                <w:szCs w:val="18"/>
              </w:rPr>
              <w:t>pek çok alanda katkı sunmaktadır. En önemli kaynaklarımızdan biri olan bitkilerden yararlanma yolları iki</w:t>
            </w:r>
            <w:r>
              <w:rPr>
                <w:sz w:val="18"/>
                <w:szCs w:val="18"/>
              </w:rPr>
              <w:t xml:space="preserve"> </w:t>
            </w:r>
            <w:r w:rsidRPr="00B96522">
              <w:rPr>
                <w:sz w:val="18"/>
                <w:szCs w:val="18"/>
              </w:rPr>
              <w:t>grupta toplanabilir</w:t>
            </w:r>
          </w:p>
          <w:p w14:paraId="1254EDDF" w14:textId="77777777" w:rsidR="009C36CA" w:rsidRDefault="009C36CA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649E62" w14:textId="6BF63FC3" w:rsidR="00BB4A8D" w:rsidRPr="008A4B9C" w:rsidRDefault="008A3297" w:rsidP="00F6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0" distR="0" wp14:anchorId="378B72EA" wp14:editId="4C2CFD5C">
                  <wp:extent cx="4474703" cy="2972974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792" cy="298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93FCDC5" w:rsidR="00DD2A8C" w:rsidRPr="000A5583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>1.</w:t>
            </w:r>
            <w:r w:rsidRPr="000A5583">
              <w:rPr>
                <w:sz w:val="18"/>
                <w:szCs w:val="18"/>
              </w:rPr>
              <w:t xml:space="preserve"> </w:t>
            </w:r>
            <w:r w:rsidR="001D0426" w:rsidRPr="000A5583">
              <w:rPr>
                <w:sz w:val="18"/>
                <w:szCs w:val="18"/>
              </w:rPr>
              <w:t>Ülkemizdeki endemik türlere örnek veriniz.</w:t>
            </w:r>
          </w:p>
          <w:p w14:paraId="775EE066" w14:textId="4754B678" w:rsidR="000042E9" w:rsidRPr="000A5583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>2.</w:t>
            </w:r>
            <w:r w:rsidRPr="000A5583">
              <w:rPr>
                <w:sz w:val="18"/>
                <w:szCs w:val="18"/>
              </w:rPr>
              <w:t xml:space="preserve"> </w:t>
            </w:r>
            <w:r w:rsidR="0044262C">
              <w:rPr>
                <w:sz w:val="18"/>
                <w:szCs w:val="18"/>
              </w:rPr>
              <w:t>Karadeniz Bölgesi’ndeki geniş yapraklı orman türleri hangileridir?</w:t>
            </w:r>
          </w:p>
          <w:p w14:paraId="52A20215" w14:textId="27D05975" w:rsidR="000042E9" w:rsidRPr="000A5583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>3.</w:t>
            </w:r>
            <w:r w:rsidRPr="000A5583">
              <w:rPr>
                <w:sz w:val="18"/>
                <w:szCs w:val="18"/>
              </w:rPr>
              <w:t xml:space="preserve"> </w:t>
            </w:r>
            <w:r w:rsidR="007A4A8D">
              <w:rPr>
                <w:sz w:val="18"/>
                <w:szCs w:val="18"/>
              </w:rPr>
              <w:t>Ülkemizde bitkilerden hangi amaçlarla yararlanılmaktadır?</w:t>
            </w:r>
          </w:p>
          <w:p w14:paraId="02E74865" w14:textId="2A4D02A0" w:rsidR="000042E9" w:rsidRPr="000A5583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>4.</w:t>
            </w:r>
            <w:r w:rsidRPr="000A5583">
              <w:rPr>
                <w:sz w:val="18"/>
                <w:szCs w:val="18"/>
              </w:rPr>
              <w:t xml:space="preserve"> </w:t>
            </w:r>
            <w:r w:rsidR="00550C21">
              <w:rPr>
                <w:sz w:val="18"/>
                <w:szCs w:val="18"/>
              </w:rPr>
              <w:t>Batı Anadolu ormanlarında en fazla bulunan türler hagileridir?</w:t>
            </w:r>
          </w:p>
          <w:p w14:paraId="791AE4D8" w14:textId="7083DBCA" w:rsidR="000042E9" w:rsidRPr="00550C21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 xml:space="preserve">5. </w:t>
            </w:r>
          </w:p>
          <w:p w14:paraId="0D93C1A2" w14:textId="77777777" w:rsidR="00550C21" w:rsidRDefault="00550C21" w:rsidP="00472A68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</w:p>
          <w:p w14:paraId="0210C0C8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• Akdeniz ikliminin görüldüğü yerlerde gelişirler.</w:t>
            </w:r>
          </w:p>
          <w:p w14:paraId="57C0793E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• Daima yeşil kalan bodur ağaç ve çalılıklardan oluşurlar.</w:t>
            </w:r>
          </w:p>
          <w:p w14:paraId="0DF82F66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• Yabani zeytin, keçiboynuzu, mersin, kermez meşesi, sandal, kocayemiş gibi bitkilerden oluşur.</w:t>
            </w:r>
          </w:p>
          <w:p w14:paraId="053F0771" w14:textId="37121BBA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550C21">
              <w:rPr>
                <w:b/>
                <w:bCs/>
                <w:sz w:val="18"/>
                <w:szCs w:val="18"/>
              </w:rPr>
              <w:t>Özellikleri verilen bitki topluluğu aşağıdakilerden hangisidir?</w:t>
            </w:r>
          </w:p>
          <w:p w14:paraId="5E0D340B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A) Maki</w:t>
            </w:r>
          </w:p>
          <w:p w14:paraId="3B927A77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B) Garig</w:t>
            </w:r>
          </w:p>
          <w:p w14:paraId="7D70F35B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C) Orman</w:t>
            </w:r>
          </w:p>
          <w:p w14:paraId="7134D8E0" w14:textId="77777777" w:rsidR="00550C21" w:rsidRP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D) Step</w:t>
            </w:r>
          </w:p>
          <w:p w14:paraId="53972D16" w14:textId="77777777" w:rsidR="00550C21" w:rsidRDefault="00550C21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50C21">
              <w:rPr>
                <w:sz w:val="18"/>
                <w:szCs w:val="18"/>
              </w:rPr>
              <w:t>E) Savan</w:t>
            </w:r>
          </w:p>
          <w:p w14:paraId="5FF2E033" w14:textId="7099B3E4" w:rsidR="00246190" w:rsidRPr="008A4B9C" w:rsidRDefault="00246190" w:rsidP="00550C21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05117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5583"/>
    <w:rsid w:val="000A641D"/>
    <w:rsid w:val="000A7263"/>
    <w:rsid w:val="000B5255"/>
    <w:rsid w:val="000B7772"/>
    <w:rsid w:val="000C4478"/>
    <w:rsid w:val="000C6384"/>
    <w:rsid w:val="000D741F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1EA0"/>
    <w:rsid w:val="00184604"/>
    <w:rsid w:val="00184E46"/>
    <w:rsid w:val="00185360"/>
    <w:rsid w:val="00196B99"/>
    <w:rsid w:val="001A7D2A"/>
    <w:rsid w:val="001B1098"/>
    <w:rsid w:val="001C1201"/>
    <w:rsid w:val="001D0426"/>
    <w:rsid w:val="001D4DF4"/>
    <w:rsid w:val="001D5C07"/>
    <w:rsid w:val="001E5F75"/>
    <w:rsid w:val="001F1866"/>
    <w:rsid w:val="001F63DC"/>
    <w:rsid w:val="001F6DB2"/>
    <w:rsid w:val="001F78E5"/>
    <w:rsid w:val="00207D7C"/>
    <w:rsid w:val="0021141B"/>
    <w:rsid w:val="00217960"/>
    <w:rsid w:val="00220CFD"/>
    <w:rsid w:val="0022684D"/>
    <w:rsid w:val="002325F3"/>
    <w:rsid w:val="00241AF3"/>
    <w:rsid w:val="00241F8A"/>
    <w:rsid w:val="00246190"/>
    <w:rsid w:val="002479BC"/>
    <w:rsid w:val="00261906"/>
    <w:rsid w:val="00265B7F"/>
    <w:rsid w:val="00270961"/>
    <w:rsid w:val="002732AF"/>
    <w:rsid w:val="0028393E"/>
    <w:rsid w:val="0029163F"/>
    <w:rsid w:val="00291ECB"/>
    <w:rsid w:val="002A40FF"/>
    <w:rsid w:val="002B0B32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D2D6D"/>
    <w:rsid w:val="003D3D01"/>
    <w:rsid w:val="003F0B6B"/>
    <w:rsid w:val="003F0BFE"/>
    <w:rsid w:val="003F7223"/>
    <w:rsid w:val="00404D70"/>
    <w:rsid w:val="0040667C"/>
    <w:rsid w:val="0040707E"/>
    <w:rsid w:val="00411428"/>
    <w:rsid w:val="0042184A"/>
    <w:rsid w:val="004219BB"/>
    <w:rsid w:val="0044262C"/>
    <w:rsid w:val="00444CE2"/>
    <w:rsid w:val="00454B7A"/>
    <w:rsid w:val="004623BB"/>
    <w:rsid w:val="0046768C"/>
    <w:rsid w:val="00472A68"/>
    <w:rsid w:val="00482EFE"/>
    <w:rsid w:val="00492E75"/>
    <w:rsid w:val="0049340F"/>
    <w:rsid w:val="00497577"/>
    <w:rsid w:val="00497762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0720"/>
    <w:rsid w:val="00550C21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5A12"/>
    <w:rsid w:val="0059690E"/>
    <w:rsid w:val="005B1112"/>
    <w:rsid w:val="005C6827"/>
    <w:rsid w:val="005D167E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699"/>
    <w:rsid w:val="00642DD4"/>
    <w:rsid w:val="00646C09"/>
    <w:rsid w:val="00660494"/>
    <w:rsid w:val="00660AC9"/>
    <w:rsid w:val="0067588E"/>
    <w:rsid w:val="006808A2"/>
    <w:rsid w:val="00684994"/>
    <w:rsid w:val="006931E2"/>
    <w:rsid w:val="00697D35"/>
    <w:rsid w:val="006A3343"/>
    <w:rsid w:val="006B1320"/>
    <w:rsid w:val="006B3018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21191"/>
    <w:rsid w:val="007307DC"/>
    <w:rsid w:val="00740A25"/>
    <w:rsid w:val="00740E4C"/>
    <w:rsid w:val="00745A5C"/>
    <w:rsid w:val="00750ADC"/>
    <w:rsid w:val="007541C1"/>
    <w:rsid w:val="00761238"/>
    <w:rsid w:val="007911A5"/>
    <w:rsid w:val="007A4A8D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3297"/>
    <w:rsid w:val="008A4B9C"/>
    <w:rsid w:val="008A5759"/>
    <w:rsid w:val="008A6A2F"/>
    <w:rsid w:val="008B214F"/>
    <w:rsid w:val="008D288F"/>
    <w:rsid w:val="008D4E92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1FB9"/>
    <w:rsid w:val="0099636D"/>
    <w:rsid w:val="009A1045"/>
    <w:rsid w:val="009A6347"/>
    <w:rsid w:val="009A715B"/>
    <w:rsid w:val="009C09DC"/>
    <w:rsid w:val="009C14D0"/>
    <w:rsid w:val="009C36CA"/>
    <w:rsid w:val="009D3F29"/>
    <w:rsid w:val="009D5B44"/>
    <w:rsid w:val="009E17E0"/>
    <w:rsid w:val="009E19D7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5734F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1611B"/>
    <w:rsid w:val="00B26779"/>
    <w:rsid w:val="00B40D8E"/>
    <w:rsid w:val="00B4198C"/>
    <w:rsid w:val="00B5169F"/>
    <w:rsid w:val="00B5505B"/>
    <w:rsid w:val="00B5639B"/>
    <w:rsid w:val="00B6428F"/>
    <w:rsid w:val="00B67F88"/>
    <w:rsid w:val="00B76C7B"/>
    <w:rsid w:val="00B93621"/>
    <w:rsid w:val="00B95094"/>
    <w:rsid w:val="00B96522"/>
    <w:rsid w:val="00BB4A8D"/>
    <w:rsid w:val="00BB6BC6"/>
    <w:rsid w:val="00BC2BCD"/>
    <w:rsid w:val="00BD26A7"/>
    <w:rsid w:val="00BD4975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20D7"/>
    <w:rsid w:val="00C650BE"/>
    <w:rsid w:val="00C70FE9"/>
    <w:rsid w:val="00C7720F"/>
    <w:rsid w:val="00C84C25"/>
    <w:rsid w:val="00C9684F"/>
    <w:rsid w:val="00CA2360"/>
    <w:rsid w:val="00CA5EF6"/>
    <w:rsid w:val="00CB7AF5"/>
    <w:rsid w:val="00CC1132"/>
    <w:rsid w:val="00CC2579"/>
    <w:rsid w:val="00CD3B14"/>
    <w:rsid w:val="00CD4F98"/>
    <w:rsid w:val="00CE0A66"/>
    <w:rsid w:val="00CF01D0"/>
    <w:rsid w:val="00CF64E6"/>
    <w:rsid w:val="00D301E2"/>
    <w:rsid w:val="00D313FD"/>
    <w:rsid w:val="00D351A9"/>
    <w:rsid w:val="00D405E5"/>
    <w:rsid w:val="00D44D3A"/>
    <w:rsid w:val="00D50061"/>
    <w:rsid w:val="00D56382"/>
    <w:rsid w:val="00D5641F"/>
    <w:rsid w:val="00D56AC2"/>
    <w:rsid w:val="00D7443B"/>
    <w:rsid w:val="00D75D2B"/>
    <w:rsid w:val="00D76ED5"/>
    <w:rsid w:val="00D770D9"/>
    <w:rsid w:val="00D83956"/>
    <w:rsid w:val="00D83F9A"/>
    <w:rsid w:val="00D8547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DE0135"/>
    <w:rsid w:val="00E02CBB"/>
    <w:rsid w:val="00E13B32"/>
    <w:rsid w:val="00E161A0"/>
    <w:rsid w:val="00E23785"/>
    <w:rsid w:val="00E31613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1895"/>
    <w:rsid w:val="00F33730"/>
    <w:rsid w:val="00F3415A"/>
    <w:rsid w:val="00F3597D"/>
    <w:rsid w:val="00F40363"/>
    <w:rsid w:val="00F434A9"/>
    <w:rsid w:val="00F43D0D"/>
    <w:rsid w:val="00F51DB1"/>
    <w:rsid w:val="00F549B2"/>
    <w:rsid w:val="00F575C9"/>
    <w:rsid w:val="00F63181"/>
    <w:rsid w:val="00F67440"/>
    <w:rsid w:val="00F67F4E"/>
    <w:rsid w:val="00F72E7C"/>
    <w:rsid w:val="00F82F32"/>
    <w:rsid w:val="00F90A57"/>
    <w:rsid w:val="00F9329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13944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Türkiye'deki Bitki Toplulukları Günlük Plan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120</cp:revision>
  <cp:lastPrinted>2009-01-06T22:36:00Z</cp:lastPrinted>
  <dcterms:created xsi:type="dcterms:W3CDTF">2020-02-17T18:02:00Z</dcterms:created>
  <dcterms:modified xsi:type="dcterms:W3CDTF">2021-02-14T18:57:00Z</dcterms:modified>
  <cp:category>cografyahocasi.com</cp:category>
  <cp:contentStatus>cografyahocasi.com</cp:contentStatus>
</cp:coreProperties>
</file>