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2B174227" w:rsidR="00867C9F" w:rsidRPr="009246A0" w:rsidRDefault="00C24F0E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12-16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1328E1E5" w:rsidR="00512CA1" w:rsidRPr="009246A0" w:rsidRDefault="00E713C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11D5BBBE" w:rsidR="006E7D80" w:rsidRPr="009246A0" w:rsidRDefault="00577794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577794">
              <w:rPr>
                <w:bCs/>
                <w:sz w:val="16"/>
                <w:szCs w:val="16"/>
              </w:rPr>
              <w:t>10.2.  BEŞERÎ SİSTEMLER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705C7F8C" w:rsidR="00A35428" w:rsidRPr="00E51B77" w:rsidRDefault="00C24F0E" w:rsidP="00C24F0E">
            <w:pPr>
              <w:spacing w:before="20" w:after="20"/>
              <w:rPr>
                <w:bCs/>
                <w:sz w:val="16"/>
                <w:szCs w:val="16"/>
              </w:rPr>
            </w:pPr>
            <w:r w:rsidRPr="00C24F0E">
              <w:rPr>
                <w:bCs/>
                <w:sz w:val="16"/>
                <w:szCs w:val="16"/>
              </w:rPr>
              <w:t>TÜRKİYE NÜFUSUNUN YAPISAL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24F0E">
              <w:rPr>
                <w:bCs/>
                <w:sz w:val="16"/>
                <w:szCs w:val="16"/>
              </w:rPr>
              <w:t>ÖZELLİKLERİ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7661E213" w:rsidR="00A35428" w:rsidRPr="00241F8A" w:rsidRDefault="00C24F0E" w:rsidP="00EB69C0">
            <w:pPr>
              <w:rPr>
                <w:sz w:val="16"/>
                <w:szCs w:val="16"/>
              </w:rPr>
            </w:pPr>
            <w:r w:rsidRPr="00C24F0E">
              <w:rPr>
                <w:sz w:val="16"/>
                <w:szCs w:val="16"/>
              </w:rPr>
              <w:t>10.2.7. Güncel verilerden yararlanarak Türkiye nüfusunun yapısal özelliklerini analiz eder.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070FAFB6" w:rsidR="00A103EB" w:rsidRPr="009246A0" w:rsidRDefault="00C24F0E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C24F0E">
              <w:rPr>
                <w:bCs/>
                <w:sz w:val="16"/>
                <w:szCs w:val="16"/>
              </w:rPr>
              <w:t>Coğrafi Sorgulama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4FD2C187" w:rsidR="00A35428" w:rsidRPr="00241F8A" w:rsidRDefault="00C24F0E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24F0E">
              <w:rPr>
                <w:bCs/>
                <w:sz w:val="16"/>
                <w:szCs w:val="16"/>
              </w:rPr>
              <w:t>Ülkemiz nüfusunun yapısal özellikleri verilir. Türkiye nüfusunun cinsiyet yapısı verilirken toplumsal cinsiyet adaleti ve eşitliğine değinilir.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8A4B9C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3840E1F0" w:rsidR="00BB4A8D" w:rsidRPr="00485550" w:rsidRDefault="00BB7A66" w:rsidP="004855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85550">
              <w:rPr>
                <w:b/>
                <w:bCs/>
                <w:color w:val="FF0000"/>
                <w:sz w:val="22"/>
                <w:szCs w:val="22"/>
              </w:rPr>
              <w:t>TÜRKİYE NÜFUSUNUN YAPISAL ÖZELLİKLERİ</w:t>
            </w:r>
          </w:p>
          <w:p w14:paraId="6FC87EB1" w14:textId="77777777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6F7CC7" w14:textId="01F73363" w:rsidR="00BB7A66" w:rsidRPr="00BB7A66" w:rsidRDefault="00BB7A66" w:rsidP="00BB7A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7A66">
              <w:rPr>
                <w:sz w:val="18"/>
                <w:szCs w:val="18"/>
              </w:rPr>
              <w:t>Bir ülke nüfusunun yapısal özellikleri (eğitim düzeyi, yaş ve cinsiyet yapısı vb.), o ülkenin sahip olduğu</w:t>
            </w:r>
            <w:r>
              <w:rPr>
                <w:sz w:val="18"/>
                <w:szCs w:val="18"/>
              </w:rPr>
              <w:t xml:space="preserve"> </w:t>
            </w:r>
            <w:r w:rsidRPr="00BB7A66">
              <w:rPr>
                <w:sz w:val="18"/>
                <w:szCs w:val="18"/>
              </w:rPr>
              <w:t>nüfus miktarı kadar önemlidir. Çünkü gelecekte yapılacak planlamalar, kalkınma politikaları vb. faaliyetler bu</w:t>
            </w:r>
            <w:r>
              <w:rPr>
                <w:sz w:val="18"/>
                <w:szCs w:val="18"/>
              </w:rPr>
              <w:t xml:space="preserve"> </w:t>
            </w:r>
            <w:r w:rsidRPr="00BB7A66">
              <w:rPr>
                <w:sz w:val="18"/>
                <w:szCs w:val="18"/>
              </w:rPr>
              <w:t>mevcut potansiyelin</w:t>
            </w:r>
            <w:r>
              <w:rPr>
                <w:sz w:val="18"/>
                <w:szCs w:val="18"/>
              </w:rPr>
              <w:t xml:space="preserve"> </w:t>
            </w:r>
            <w:r w:rsidRPr="00BB7A66">
              <w:rPr>
                <w:sz w:val="18"/>
                <w:szCs w:val="18"/>
              </w:rPr>
              <w:t>bilinmesine bağlıdır. Ülkelerin gelişmişlik düzeyi açısından yapısal özellikler ön plana</w:t>
            </w:r>
            <w:r>
              <w:rPr>
                <w:sz w:val="18"/>
                <w:szCs w:val="18"/>
              </w:rPr>
              <w:t xml:space="preserve"> </w:t>
            </w:r>
            <w:r w:rsidRPr="00BB7A66">
              <w:rPr>
                <w:sz w:val="18"/>
                <w:szCs w:val="18"/>
              </w:rPr>
              <w:t>çıkmaktadır. Bu açıdan bakıldığında nüfusun yaş ve cinsiyet yapısı,</w:t>
            </w:r>
            <w:r>
              <w:rPr>
                <w:sz w:val="18"/>
                <w:szCs w:val="18"/>
              </w:rPr>
              <w:t xml:space="preserve"> </w:t>
            </w:r>
            <w:r w:rsidRPr="00BB7A66">
              <w:rPr>
                <w:sz w:val="18"/>
                <w:szCs w:val="18"/>
              </w:rPr>
              <w:t>eğitim durumu, kır ve şehir nüfusunun</w:t>
            </w:r>
          </w:p>
          <w:p w14:paraId="1EEE03ED" w14:textId="554D2CC9" w:rsidR="00BB4A8D" w:rsidRPr="008A4B9C" w:rsidRDefault="00BB7A66" w:rsidP="00BB7A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7A66">
              <w:rPr>
                <w:sz w:val="18"/>
                <w:szCs w:val="18"/>
              </w:rPr>
              <w:t>oranı ve çalışan nüfusun ekonomik faaliyet kollarına dağılımı gibi özellikler nüfusun yapısal özelliklerini oluşturmaktadır</w:t>
            </w:r>
            <w:r>
              <w:rPr>
                <w:sz w:val="18"/>
                <w:szCs w:val="18"/>
              </w:rPr>
              <w:t xml:space="preserve">. </w:t>
            </w:r>
          </w:p>
          <w:p w14:paraId="61AEB1A9" w14:textId="71428CCA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D41586A" w14:textId="45158263" w:rsidR="00BB4A8D" w:rsidRPr="008A4B9C" w:rsidRDefault="000063D2" w:rsidP="000063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3D2">
              <w:rPr>
                <w:sz w:val="18"/>
                <w:szCs w:val="18"/>
              </w:rPr>
              <w:drawing>
                <wp:inline distT="0" distB="0" distL="0" distR="0" wp14:anchorId="6537F3B1" wp14:editId="7915CD57">
                  <wp:extent cx="5518088" cy="1283651"/>
                  <wp:effectExtent l="0" t="0" r="6985" b="0"/>
                  <wp:docPr id="13" name="Picture 2" descr="C:\Documents and Settings\Administrator\Deskto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Documents and Settings\Administrator\Deskto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655" cy="1292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6A6CF7" w14:textId="2CE18FBA" w:rsidR="00BB4A8D" w:rsidRPr="008A4B9C" w:rsidRDefault="00485550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4E3DE90B" wp14:editId="47084598">
                  <wp:simplePos x="0" y="0"/>
                  <wp:positionH relativeFrom="column">
                    <wp:posOffset>4584065</wp:posOffset>
                  </wp:positionH>
                  <wp:positionV relativeFrom="paragraph">
                    <wp:posOffset>86995</wp:posOffset>
                  </wp:positionV>
                  <wp:extent cx="1943100" cy="1312545"/>
                  <wp:effectExtent l="0" t="0" r="0" b="1905"/>
                  <wp:wrapThrough wrapText="bothSides">
                    <wp:wrapPolygon edited="0">
                      <wp:start x="0" y="0"/>
                      <wp:lineTo x="0" y="21318"/>
                      <wp:lineTo x="21388" y="21318"/>
                      <wp:lineTo x="21388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97A01" w14:textId="717AD3CD" w:rsidR="00BB4A8D" w:rsidRDefault="000063D2" w:rsidP="000063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63D2">
              <w:rPr>
                <w:sz w:val="18"/>
                <w:szCs w:val="18"/>
              </w:rPr>
              <w:t>Ülke nüfusumuzun en önemli özelliği genç ve dinamik bir yapıya sahip olmasıdır.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Toplam nüfusun %2</w:t>
            </w:r>
            <w:r w:rsidR="00485550">
              <w:rPr>
                <w:sz w:val="18"/>
                <w:szCs w:val="18"/>
              </w:rPr>
              <w:t>2</w:t>
            </w:r>
            <w:r w:rsidRPr="000063D2">
              <w:rPr>
                <w:sz w:val="18"/>
                <w:szCs w:val="18"/>
              </w:rPr>
              <w:t>,</w:t>
            </w:r>
            <w:r w:rsidR="00485550">
              <w:rPr>
                <w:sz w:val="18"/>
                <w:szCs w:val="18"/>
              </w:rPr>
              <w:t>8</w:t>
            </w:r>
            <w:r w:rsidRPr="000063D2">
              <w:rPr>
                <w:sz w:val="18"/>
                <w:szCs w:val="18"/>
              </w:rPr>
              <w:t>’lik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kısmını 0-14 yaş grubu, %6</w:t>
            </w:r>
            <w:r w:rsidR="00485550">
              <w:rPr>
                <w:sz w:val="18"/>
                <w:szCs w:val="18"/>
              </w:rPr>
              <w:t>7,7</w:t>
            </w:r>
            <w:r w:rsidRPr="000063D2">
              <w:rPr>
                <w:sz w:val="18"/>
                <w:szCs w:val="18"/>
              </w:rPr>
              <w:t>'</w:t>
            </w:r>
            <w:r w:rsidR="00485550">
              <w:rPr>
                <w:sz w:val="18"/>
                <w:szCs w:val="18"/>
              </w:rPr>
              <w:t>s</w:t>
            </w:r>
            <w:r w:rsidRPr="000063D2">
              <w:rPr>
                <w:sz w:val="18"/>
                <w:szCs w:val="18"/>
              </w:rPr>
              <w:t>ini 15-64 yaş grubu, %</w:t>
            </w:r>
            <w:r w:rsidR="00485550">
              <w:rPr>
                <w:sz w:val="18"/>
                <w:szCs w:val="18"/>
              </w:rPr>
              <w:t>9</w:t>
            </w:r>
            <w:r w:rsidRPr="000063D2">
              <w:rPr>
                <w:sz w:val="18"/>
                <w:szCs w:val="18"/>
              </w:rPr>
              <w:t>,</w:t>
            </w:r>
            <w:r w:rsidR="00485550">
              <w:rPr>
                <w:sz w:val="18"/>
                <w:szCs w:val="18"/>
              </w:rPr>
              <w:t>5</w:t>
            </w:r>
            <w:r w:rsidRPr="000063D2">
              <w:rPr>
                <w:sz w:val="18"/>
                <w:szCs w:val="18"/>
              </w:rPr>
              <w:t>'l</w:t>
            </w:r>
            <w:r w:rsidR="00485550">
              <w:rPr>
                <w:sz w:val="18"/>
                <w:szCs w:val="18"/>
              </w:rPr>
              <w:t>u</w:t>
            </w:r>
            <w:r w:rsidRPr="000063D2">
              <w:rPr>
                <w:sz w:val="18"/>
                <w:szCs w:val="18"/>
              </w:rPr>
              <w:t>k kısmını da 65 ve üzeri yaş grubu oluşturur</w:t>
            </w:r>
            <w:r>
              <w:rPr>
                <w:sz w:val="18"/>
                <w:szCs w:val="18"/>
              </w:rPr>
              <w:t xml:space="preserve">. </w:t>
            </w:r>
            <w:r w:rsidRPr="000063D2">
              <w:rPr>
                <w:sz w:val="18"/>
                <w:szCs w:val="18"/>
              </w:rPr>
              <w:t>Nüfus piramitleri,</w:t>
            </w:r>
            <w:r>
              <w:rPr>
                <w:sz w:val="18"/>
                <w:szCs w:val="18"/>
              </w:rPr>
              <w:t xml:space="preserve"> </w:t>
            </w:r>
            <w:r w:rsidRPr="00485550">
              <w:rPr>
                <w:b/>
                <w:bCs/>
                <w:color w:val="FF0000"/>
                <w:sz w:val="18"/>
                <w:szCs w:val="18"/>
              </w:rPr>
              <w:t>nüfusun yaş gruplarına</w:t>
            </w:r>
            <w:r w:rsidRPr="0048555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85550">
              <w:rPr>
                <w:b/>
                <w:bCs/>
                <w:color w:val="FF0000"/>
                <w:sz w:val="18"/>
                <w:szCs w:val="18"/>
              </w:rPr>
              <w:t>dağılımı</w:t>
            </w:r>
            <w:r w:rsidRPr="000063D2">
              <w:rPr>
                <w:sz w:val="18"/>
                <w:szCs w:val="18"/>
              </w:rPr>
              <w:t xml:space="preserve"> hakkında bilgi verir. Türkiye'de nüfus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piramitlerinin şekli, nüfus artış hızının değişmesi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ve ortalama yaşam süresinin uzamasına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bağlı olarak sürekli değişim göstermektedir.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Ülkemiz, 1990 yılına kadar geniş tabanlı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nüfus piramitlerine sahipken günümüzde nüfustaki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değişimler nedeniyle nüfus piramidinin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tabanı daralmaya başlamıştır.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Ortanca yaşın büyüklüğü ülkenin gelişmişlik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seviyesini gösteren kriterlerden biri olabilir.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 xml:space="preserve">Örneğin </w:t>
            </w:r>
            <w:r w:rsidR="00485550" w:rsidRPr="00485550">
              <w:rPr>
                <w:sz w:val="18"/>
                <w:szCs w:val="18"/>
              </w:rPr>
              <w:t xml:space="preserve">Ülkemizde 1980 yılında 19 olan ortanca yaş, 2007 yılında 27,7’ye 2020 yılında ise  32,7’ye yükselmiştir. </w:t>
            </w:r>
            <w:r w:rsidRPr="000063D2">
              <w:rPr>
                <w:sz w:val="18"/>
                <w:szCs w:val="18"/>
              </w:rPr>
              <w:t>Bu durum,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ülkemizin gelişmişlik seviyesinin yükseldiğinin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bir göstergesi olarak düşünülebilir.</w:t>
            </w:r>
          </w:p>
          <w:p w14:paraId="47733C6A" w14:textId="0D480CD5" w:rsidR="00485550" w:rsidRPr="008A4B9C" w:rsidRDefault="00485550" w:rsidP="000063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2050409B" wp14:editId="2CE84DDC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133350</wp:posOffset>
                  </wp:positionV>
                  <wp:extent cx="1334135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281" y="21252"/>
                      <wp:lineTo x="21281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8600F1" w14:textId="67A6E1D8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3590813" w14:textId="71A651D8" w:rsidR="000063D2" w:rsidRDefault="000063D2" w:rsidP="000063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63D2">
              <w:rPr>
                <w:sz w:val="18"/>
                <w:szCs w:val="18"/>
              </w:rPr>
              <w:t xml:space="preserve">Nüfusun bir diğer yapısal özelliği olan </w:t>
            </w:r>
            <w:r w:rsidRPr="00485550">
              <w:rPr>
                <w:b/>
                <w:bCs/>
                <w:color w:val="FF0000"/>
                <w:sz w:val="18"/>
                <w:szCs w:val="18"/>
              </w:rPr>
              <w:t>cinsiyet yapısı</w:t>
            </w:r>
            <w:r w:rsidRPr="000063D2">
              <w:rPr>
                <w:sz w:val="18"/>
                <w:szCs w:val="18"/>
              </w:rPr>
              <w:t>, bir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ülkedeki kadın ve erkek nüfusu ifade eder. Ülkemizde kadın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ve erkek nüfusun oranı birbirine yakındır</w:t>
            </w:r>
            <w:r>
              <w:rPr>
                <w:sz w:val="18"/>
                <w:szCs w:val="18"/>
              </w:rPr>
              <w:t xml:space="preserve">. </w:t>
            </w:r>
            <w:r w:rsidRPr="000063D2">
              <w:rPr>
                <w:sz w:val="18"/>
                <w:szCs w:val="18"/>
              </w:rPr>
              <w:t>Ancak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65 ve üzeri yaş grubunda kadınların oranı erkeklerden fazladır.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Bir yerde kadın ve erkek nüfusun farklı olmasında göç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alıp verme durumu etkili olmaktadır. Sanayi ve ticaretin geliştiği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şehirler göç aldığından dolayı daha fazla erkek nüfusa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sahiptir. Bu duruma İstanbul, Bursa, Antalya ve Gaziantep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şehirleri örnek verilebilir. Kırsal alanlarda ise ekonomik imkânların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yetersizliğinden dolayı erkek nüfus, çalışmak amacıyla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bulunduğu yeri terk ederek göç etmek zorunda kalır.</w:t>
            </w:r>
            <w:r>
              <w:rPr>
                <w:sz w:val="18"/>
                <w:szCs w:val="18"/>
              </w:rPr>
              <w:t xml:space="preserve"> </w:t>
            </w:r>
            <w:r w:rsidRPr="000063D2">
              <w:rPr>
                <w:sz w:val="18"/>
                <w:szCs w:val="18"/>
              </w:rPr>
              <w:t>Bu durumun yaşandığı yerlerde de kadın nüfusun erkeklerden daha fazla olduğu görülür.</w:t>
            </w:r>
          </w:p>
          <w:p w14:paraId="27072D4D" w14:textId="20433142" w:rsidR="00485550" w:rsidRPr="008A4B9C" w:rsidRDefault="00485550" w:rsidP="000063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F58D54" w14:textId="4990A3F6" w:rsidR="00BB4A8D" w:rsidRPr="008A4B9C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39581F" w14:textId="2285089F" w:rsidR="00BB4A8D" w:rsidRPr="008A4B9C" w:rsidRDefault="00DF1BDF" w:rsidP="000063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0" locked="0" layoutInCell="1" allowOverlap="1" wp14:anchorId="41613974" wp14:editId="5FA17139">
                  <wp:simplePos x="0" y="0"/>
                  <wp:positionH relativeFrom="column">
                    <wp:posOffset>5271902</wp:posOffset>
                  </wp:positionH>
                  <wp:positionV relativeFrom="paragraph">
                    <wp:posOffset>373298</wp:posOffset>
                  </wp:positionV>
                  <wp:extent cx="1251585" cy="1167130"/>
                  <wp:effectExtent l="0" t="0" r="5715" b="0"/>
                  <wp:wrapThrough wrapText="bothSides">
                    <wp:wrapPolygon edited="0">
                      <wp:start x="0" y="0"/>
                      <wp:lineTo x="0" y="21153"/>
                      <wp:lineTo x="21370" y="21153"/>
                      <wp:lineTo x="21370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3D2">
              <w:rPr>
                <w:sz w:val="18"/>
                <w:szCs w:val="18"/>
              </w:rPr>
              <w:t>N</w:t>
            </w:r>
            <w:r w:rsidR="000063D2" w:rsidRPr="000063D2">
              <w:rPr>
                <w:sz w:val="18"/>
                <w:szCs w:val="18"/>
              </w:rPr>
              <w:t xml:space="preserve">üfusun sahip olduğu en önemli niteliklerinden biri </w:t>
            </w:r>
            <w:r w:rsidR="000063D2" w:rsidRPr="00485550">
              <w:rPr>
                <w:b/>
                <w:bCs/>
                <w:color w:val="FF0000"/>
                <w:sz w:val="18"/>
                <w:szCs w:val="18"/>
              </w:rPr>
              <w:t>eğitim durumu</w:t>
            </w:r>
            <w:r w:rsidR="000063D2" w:rsidRPr="000063D2">
              <w:rPr>
                <w:sz w:val="18"/>
                <w:szCs w:val="18"/>
              </w:rPr>
              <w:t>dur. Türkiye'de 1950 yılında yapılan</w:t>
            </w:r>
            <w:r w:rsidR="000063D2">
              <w:rPr>
                <w:sz w:val="18"/>
                <w:szCs w:val="18"/>
              </w:rPr>
              <w:t xml:space="preserve"> </w:t>
            </w:r>
            <w:r w:rsidR="000063D2" w:rsidRPr="000063D2">
              <w:rPr>
                <w:sz w:val="18"/>
                <w:szCs w:val="18"/>
              </w:rPr>
              <w:t>nüfus sayımı sonuçlarına göre nüfusun yaklaşık %31,8'lik kısmı okuryazardı. 2015 yılında ise ülkemizde okuma</w:t>
            </w:r>
            <w:r w:rsidR="000063D2">
              <w:rPr>
                <w:sz w:val="18"/>
                <w:szCs w:val="18"/>
              </w:rPr>
              <w:t xml:space="preserve"> </w:t>
            </w:r>
            <w:r w:rsidR="000063D2" w:rsidRPr="000063D2">
              <w:rPr>
                <w:sz w:val="18"/>
                <w:szCs w:val="18"/>
              </w:rPr>
              <w:t>yazma bilenlerin oranı %94,6'ye yükselmiştir. Ancak kadın ve erkeklerde eşit bir dağılım göstermeyen bu</w:t>
            </w:r>
            <w:r w:rsidR="000063D2">
              <w:rPr>
                <w:sz w:val="18"/>
                <w:szCs w:val="18"/>
              </w:rPr>
              <w:t xml:space="preserve"> </w:t>
            </w:r>
            <w:r w:rsidR="000063D2" w:rsidRPr="000063D2">
              <w:rPr>
                <w:sz w:val="18"/>
                <w:szCs w:val="18"/>
              </w:rPr>
              <w:t>oran, kadınlarda %91 iken erkeklerde %98,2 olarak tespit edilmiştir</w:t>
            </w:r>
            <w:r w:rsidR="000063D2">
              <w:rPr>
                <w:sz w:val="18"/>
                <w:szCs w:val="18"/>
              </w:rPr>
              <w:t>.</w:t>
            </w:r>
          </w:p>
          <w:p w14:paraId="46A8C8E5" w14:textId="77777777" w:rsidR="00DF1BDF" w:rsidRPr="008A4B9C" w:rsidRDefault="00DF1BDF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7C560EF4" w:rsidR="00BB4A8D" w:rsidRDefault="00FE4C5C" w:rsidP="00FE4C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E4C5C">
              <w:rPr>
                <w:sz w:val="18"/>
                <w:szCs w:val="18"/>
              </w:rPr>
              <w:t>15-64 yaş grubunda yer alan nüfus aktif ya da çalışma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 xml:space="preserve">çağındaki nüfusu oluşturmaktadır. </w:t>
            </w:r>
            <w:r w:rsidRPr="00DF1BDF">
              <w:rPr>
                <w:b/>
                <w:bCs/>
                <w:color w:val="FF0000"/>
                <w:sz w:val="18"/>
                <w:szCs w:val="18"/>
              </w:rPr>
              <w:t>Aktif nüfusun çalıştığı</w:t>
            </w:r>
            <w:r w:rsidRPr="00DF1BD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DF1BDF">
              <w:rPr>
                <w:b/>
                <w:bCs/>
                <w:color w:val="FF0000"/>
                <w:sz w:val="18"/>
                <w:szCs w:val="18"/>
              </w:rPr>
              <w:t xml:space="preserve">ekonomik faaliyet kolları </w:t>
            </w:r>
            <w:r w:rsidRPr="00FE4C5C">
              <w:rPr>
                <w:sz w:val="18"/>
                <w:szCs w:val="18"/>
              </w:rPr>
              <w:t>tarım, hizmet ve sanayi sektörlerinden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oluşmaktadır. Ülkenin sahip olduğu ekonomik faaliyet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kolları, nüfusun sosyoekonomik yapısı üzerinde önemli</w:t>
            </w:r>
            <w:r w:rsidR="00DF1BDF"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bir etki oluşturmaktadır. Türkiye'de 1927'den beri sürdürülen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ekonomik faaliyetlere bakıldığında tarım sektöründe çalışanların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oranı azalırken sanayi ve hizmetler sektöründe çalışanların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oranı ise artmaktadır. Aktif nüfus içinde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çalışanların oranı erkek nüfusta daha fazladır. Ayrıca ekonomik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faaliyetlerin dağılışı illere göre farklılık göstermektedir.</w:t>
            </w:r>
          </w:p>
          <w:p w14:paraId="0C88A50C" w14:textId="77777777" w:rsidR="00DF1BDF" w:rsidRPr="008A4B9C" w:rsidRDefault="00DF1BDF" w:rsidP="00FE4C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7E3F69D" w14:textId="64A88F74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1945139" w14:textId="1F2D5C91" w:rsidR="00DF1BDF" w:rsidRDefault="00DF1BDF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lastRenderedPageBreak/>
              <w:drawing>
                <wp:anchor distT="0" distB="0" distL="114300" distR="114300" simplePos="0" relativeHeight="251661312" behindDoc="0" locked="0" layoutInCell="1" allowOverlap="1" wp14:anchorId="7B65A962" wp14:editId="630ED21B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62230</wp:posOffset>
                  </wp:positionV>
                  <wp:extent cx="1585595" cy="1425575"/>
                  <wp:effectExtent l="0" t="0" r="0" b="3175"/>
                  <wp:wrapThrough wrapText="bothSides">
                    <wp:wrapPolygon edited="0">
                      <wp:start x="0" y="0"/>
                      <wp:lineTo x="0" y="21359"/>
                      <wp:lineTo x="21280" y="21359"/>
                      <wp:lineTo x="21280" y="0"/>
                      <wp:lineTo x="0" y="0"/>
                    </wp:wrapPolygon>
                  </wp:wrapThrough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2F2EE2" w14:textId="011142D8" w:rsidR="00BB4A8D" w:rsidRPr="008A4B9C" w:rsidRDefault="00FE4C5C" w:rsidP="00FE4C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E4C5C">
              <w:rPr>
                <w:sz w:val="18"/>
                <w:szCs w:val="18"/>
              </w:rPr>
              <w:t xml:space="preserve">Toplam nüfus içerisindeki </w:t>
            </w:r>
            <w:r w:rsidRPr="00DF1BDF">
              <w:rPr>
                <w:b/>
                <w:bCs/>
                <w:color w:val="FF0000"/>
                <w:sz w:val="18"/>
                <w:szCs w:val="18"/>
              </w:rPr>
              <w:t>kır ve şehir nüfusu</w:t>
            </w:r>
            <w:r w:rsidRPr="00FE4C5C">
              <w:rPr>
                <w:sz w:val="18"/>
                <w:szCs w:val="18"/>
              </w:rPr>
              <w:t>na dair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oranlar, ülkelerin sosyoekonomik yapısı hakkında bilgi veren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önemli göstergelerden biridir. Ülkemizde kır ve şehir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yerleşmeleri, genelde ekonomik etkinlikler ve nüfus miktarına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göre belirlenmektedir. Kırsal alanda daha çok tarımsal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faaliyetler, şehirlerde ise sanayi ve hizmetler sektörü ön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plandadır.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Nüfus kriterine göre Türkiye'de nüfusu 10 000'in altında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olan yerleşmeler kırsal, bu sayının üzerinde olan yerleşmeler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de şehirsel yerleşme olarak kabul edilmektedir. Ülkemizde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1927 yılında %75,8 olan kır nüfusu, sürekli azalarak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20</w:t>
            </w:r>
            <w:r w:rsidR="00E3335F">
              <w:rPr>
                <w:sz w:val="18"/>
                <w:szCs w:val="18"/>
              </w:rPr>
              <w:t>20</w:t>
            </w:r>
            <w:r w:rsidRPr="00FE4C5C">
              <w:rPr>
                <w:sz w:val="18"/>
                <w:szCs w:val="18"/>
              </w:rPr>
              <w:t xml:space="preserve"> yılında %7'</w:t>
            </w:r>
            <w:r w:rsidR="00E3335F">
              <w:rPr>
                <w:sz w:val="18"/>
                <w:szCs w:val="18"/>
              </w:rPr>
              <w:t>y</w:t>
            </w:r>
            <w:r w:rsidRPr="00FE4C5C">
              <w:rPr>
                <w:sz w:val="18"/>
                <w:szCs w:val="18"/>
              </w:rPr>
              <w:t>e kadar gerilemiştir. Aynı dönemde %24,2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olan şehir nüfusu ise sürekli artarak 20</w:t>
            </w:r>
            <w:r w:rsidR="00E3335F">
              <w:rPr>
                <w:sz w:val="18"/>
                <w:szCs w:val="18"/>
              </w:rPr>
              <w:t>20</w:t>
            </w:r>
            <w:r w:rsidRPr="00FE4C5C">
              <w:rPr>
                <w:sz w:val="18"/>
                <w:szCs w:val="18"/>
              </w:rPr>
              <w:t xml:space="preserve"> yılında %9</w:t>
            </w:r>
            <w:r w:rsidR="00E3335F">
              <w:rPr>
                <w:sz w:val="18"/>
                <w:szCs w:val="18"/>
              </w:rPr>
              <w:t>3</w:t>
            </w:r>
            <w:r w:rsidRPr="00FE4C5C">
              <w:rPr>
                <w:sz w:val="18"/>
                <w:szCs w:val="18"/>
              </w:rPr>
              <w:t xml:space="preserve"> seviyesine</w:t>
            </w:r>
            <w:r w:rsidR="00DF1BDF"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kadar yükselmiş durumdadır. Bu açıdan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bakıldığında ülkemizde kır ve şehir nüfusunun dengeli bir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dağılım göstermediği görülmektedir. Sanayinin geliştiği İstanbul, Ankara, İzmir ve Bursa gibi illerde şehir</w:t>
            </w:r>
            <w:r>
              <w:rPr>
                <w:sz w:val="18"/>
                <w:szCs w:val="18"/>
              </w:rPr>
              <w:t xml:space="preserve"> </w:t>
            </w:r>
            <w:r w:rsidRPr="00FE4C5C">
              <w:rPr>
                <w:sz w:val="18"/>
                <w:szCs w:val="18"/>
              </w:rPr>
              <w:t>nüfusu; Karadeniz ve Doğu Anadolu'da yer alan illerin büyük çoğunluğunda ise kır nüfusu daha fazladır</w:t>
            </w:r>
            <w:r w:rsidR="005E0E6B">
              <w:rPr>
                <w:sz w:val="18"/>
                <w:szCs w:val="18"/>
              </w:rPr>
              <w:t>.</w:t>
            </w:r>
            <w:r w:rsidR="00DF1BDF">
              <w:t xml:space="preserve"> </w:t>
            </w:r>
          </w:p>
          <w:p w14:paraId="164EC87C" w14:textId="1B5CD4FE" w:rsidR="00BB4A8D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363C3A1" w14:textId="3501BFF1" w:rsidR="00DF1BDF" w:rsidRPr="008A4B9C" w:rsidRDefault="00DF1BDF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8A4B9C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8A4B9C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8A4B9C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8A4B9C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8A4B9C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8A4B9C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8A4B9C">
              <w:rPr>
                <w:bCs/>
                <w:sz w:val="18"/>
                <w:szCs w:val="18"/>
              </w:rPr>
              <w:t xml:space="preserve"> D</w:t>
            </w:r>
            <w:r w:rsidRPr="008A4B9C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47FEF221" w:rsidR="00DD2A8C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1. </w:t>
            </w:r>
            <w:r w:rsidR="00E3335F">
              <w:rPr>
                <w:sz w:val="18"/>
                <w:szCs w:val="18"/>
              </w:rPr>
              <w:t>Ülkemizin ortanca yaşı niçin yükselmektedir?</w:t>
            </w:r>
          </w:p>
          <w:p w14:paraId="775EE066" w14:textId="237C7678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2. </w:t>
            </w:r>
            <w:r w:rsidR="00E3335F">
              <w:rPr>
                <w:sz w:val="18"/>
                <w:szCs w:val="18"/>
              </w:rPr>
              <w:t>Ülkemizde aktif nüfusun en fazla çalıştığı sektör hangisidir?</w:t>
            </w:r>
          </w:p>
          <w:p w14:paraId="52A20215" w14:textId="1F6B16D2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3. </w:t>
            </w:r>
            <w:r w:rsidR="0094464D">
              <w:rPr>
                <w:sz w:val="18"/>
                <w:szCs w:val="18"/>
              </w:rPr>
              <w:t>Nüfusumuzun cinsiyet yapısı nasıldır?</w:t>
            </w:r>
          </w:p>
          <w:p w14:paraId="02E74865" w14:textId="66C6DEAA" w:rsidR="000042E9" w:rsidRPr="008E25A9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8E25A9">
              <w:rPr>
                <w:sz w:val="18"/>
                <w:szCs w:val="18"/>
              </w:rPr>
              <w:t xml:space="preserve">4. </w:t>
            </w:r>
            <w:r w:rsidR="00E3335F">
              <w:rPr>
                <w:sz w:val="18"/>
                <w:szCs w:val="18"/>
              </w:rPr>
              <w:t>Ülkemizde kır ve kent nüfus oranları nasıldır?</w:t>
            </w:r>
          </w:p>
          <w:p w14:paraId="65D46D68" w14:textId="77777777" w:rsid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  <w:p w14:paraId="295357BB" w14:textId="0E292A23" w:rsidR="0094464D" w:rsidRP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94464D">
              <w:rPr>
                <w:b/>
                <w:bCs/>
                <w:sz w:val="18"/>
                <w:szCs w:val="18"/>
              </w:rPr>
              <w:t xml:space="preserve">5. Türkiye’nin nüfus özellikleri ile ilgili olarak aşağıda verilenlerden hangisi </w:t>
            </w:r>
            <w:r w:rsidRPr="0094464D">
              <w:rPr>
                <w:b/>
                <w:bCs/>
                <w:sz w:val="18"/>
                <w:szCs w:val="18"/>
                <w:u w:val="single"/>
              </w:rPr>
              <w:t>söylenemez</w:t>
            </w:r>
            <w:r w:rsidRPr="0094464D">
              <w:rPr>
                <w:b/>
                <w:bCs/>
                <w:sz w:val="18"/>
                <w:szCs w:val="18"/>
              </w:rPr>
              <w:t>?</w:t>
            </w:r>
          </w:p>
          <w:p w14:paraId="7D597CCB" w14:textId="77777777" w:rsidR="0094464D" w:rsidRP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4464D">
              <w:rPr>
                <w:sz w:val="18"/>
                <w:szCs w:val="18"/>
              </w:rPr>
              <w:t>A) 1960-1975 yılları arasındaki dönemde yurt dışına işçi göçleri yaşanmıştır.</w:t>
            </w:r>
          </w:p>
          <w:p w14:paraId="6D156C1B" w14:textId="77777777" w:rsidR="0094464D" w:rsidRP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4464D">
              <w:rPr>
                <w:sz w:val="18"/>
                <w:szCs w:val="18"/>
              </w:rPr>
              <w:t>B) 1927 yılından günümüze kadar olan dönemde kent nüfus oranı sürekli artış göstermiştir.</w:t>
            </w:r>
          </w:p>
          <w:p w14:paraId="69E14B75" w14:textId="77777777" w:rsidR="0094464D" w:rsidRP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94464D">
              <w:rPr>
                <w:b/>
                <w:bCs/>
                <w:sz w:val="18"/>
                <w:szCs w:val="18"/>
              </w:rPr>
              <w:t>C) Günümüzde kırsal alanlarda erkek nüfus oranı kadın nüfus oranından daha fazladır.</w:t>
            </w:r>
          </w:p>
          <w:p w14:paraId="0318A6E4" w14:textId="77777777" w:rsidR="0094464D" w:rsidRP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4464D">
              <w:rPr>
                <w:sz w:val="18"/>
                <w:szCs w:val="18"/>
              </w:rPr>
              <w:t>D) Günümüzde tarım sektöründe çalışanların oranı diğer sektörlerde çalışanların oranından daha azdır.</w:t>
            </w:r>
          </w:p>
          <w:p w14:paraId="391A3CB9" w14:textId="63C73512" w:rsidR="0094464D" w:rsidRDefault="0094464D" w:rsidP="0094464D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94464D">
              <w:rPr>
                <w:sz w:val="18"/>
                <w:szCs w:val="18"/>
              </w:rPr>
              <w:t>E) Günümüzde genç nüfus oranı yaşlı nüfus oranından daha fazladır.</w:t>
            </w:r>
          </w:p>
          <w:p w14:paraId="5FF2E033" w14:textId="4041D878" w:rsidR="0094464D" w:rsidRPr="008E25A9" w:rsidRDefault="0094464D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063D2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85550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0E6B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4464D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4A8D"/>
    <w:rsid w:val="00BB6BC6"/>
    <w:rsid w:val="00BB7A66"/>
    <w:rsid w:val="00BC2BCD"/>
    <w:rsid w:val="00BD26A7"/>
    <w:rsid w:val="00BE5C5D"/>
    <w:rsid w:val="00BE73AD"/>
    <w:rsid w:val="00BF785D"/>
    <w:rsid w:val="00C00910"/>
    <w:rsid w:val="00C10330"/>
    <w:rsid w:val="00C247E0"/>
    <w:rsid w:val="00C24F0E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DF1BDF"/>
    <w:rsid w:val="00E02CBB"/>
    <w:rsid w:val="00E161A0"/>
    <w:rsid w:val="00E23785"/>
    <w:rsid w:val="00E3335F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62F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E02F8"/>
    <w:rsid w:val="00FE4C5C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7012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72</cp:revision>
  <cp:lastPrinted>2009-01-06T22:36:00Z</cp:lastPrinted>
  <dcterms:created xsi:type="dcterms:W3CDTF">2020-02-17T18:02:00Z</dcterms:created>
  <dcterms:modified xsi:type="dcterms:W3CDTF">2021-05-27T08:48:00Z</dcterms:modified>
  <cp:category>cografyahocasi.com</cp:category>
  <cp:contentStatus>cografyahocasi.com</cp:contentStatus>
</cp:coreProperties>
</file>