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747E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9.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SINAV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747E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56" type="#_x0000_t32" style="position:absolute;margin-left:280.4pt;margin-top:21.65pt;width:2.25pt;height:608.15pt;flip:x;z-index:251866112" o:connectortype="straight" strokeweight="1pt"/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82.45pt;margin-top:22.55pt;width:247.95pt;height:580.75pt;z-index:251660288;mso-width-relative:margin;mso-height-relative:margin" stroked="f">
            <v:textbox style="mso-next-textbox:#_x0000_s1026">
              <w:txbxContent>
                <w:p w:rsidR="00E94B8C" w:rsidRPr="00AE1577" w:rsidRDefault="00CA0147" w:rsidP="006B5E4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9C174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1/300.000 ö</w:t>
                  </w:r>
                  <w:r w:rsid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lçekli bir haritada 5 cm olarak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gösterilen bir akarsu gerçekte kaç km’dir?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CBS (Coğrafi Bilgi Sistemleri) Nedir?</w:t>
                  </w: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24212" w:rsidRPr="00AE1577" w:rsidRDefault="0022421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509B3" w:rsidRDefault="008509B3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8509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Büyük ölçekli haritaların özelliklerinden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5537BD" w:rsidRPr="00AE1577" w:rsidRDefault="005537B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87461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İnsanın doğaya etkilerinden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0C0887" w:rsidRDefault="00747E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590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 nedir?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Coğrafyanın gelişimine katkı sağlayan bilim ada</w:t>
                  </w:r>
                  <w:r w:rsidR="008E4C3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mlarından beş tanesinin ismini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yazınız.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3)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27° doğu boylamı</w:t>
                  </w:r>
                  <w:r w:rsidR="00596FD6" w:rsidRP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üzerinde bulunan İzmir’de yerel saat 07.32 iken 40° doğu bo</w:t>
                  </w:r>
                  <w:r w:rsidR="00877BD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ylamı üzerindeki Bingöl’de</w:t>
                  </w:r>
                  <w:r w:rsidR="00AA605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yerel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saat </w:t>
                  </w:r>
                  <w:r w:rsidR="00596FD6" w:rsidRP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kaçtır?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373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° Kuzey paraleli üzerindeki bir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yerd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en </w:t>
                  </w:r>
                  <w:r w:rsidR="00D4734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kuşuçuşu </w:t>
                  </w:r>
                  <w:r w:rsidR="00C667D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D4734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km kuzeye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oğru gidilirse hangi paralele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ulaşılır?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747EAA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w:pict>
          <v:shape id="_x0000_s1255" type="#_x0000_t202" style="position:absolute;margin-left:-.4pt;margin-top:3.5pt;width:534.55pt;height:138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92C48" w:rsidRPr="00E92C48" w:rsidRDefault="00E92C48" w:rsidP="00E92C48">
                  <w:pPr>
                    <w:spacing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92C48"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9) Aşağıdaki sorularda boş bırakılan yerleri uygun ifadelerle doldurunuz.  </w:t>
                  </w:r>
                  <w:r w:rsidRPr="00E92C48">
                    <w:rPr>
                      <w:rFonts w:ascii="Calibri" w:eastAsia="Calibri" w:hAnsi="Calibri"/>
                      <w:bCs/>
                      <w:i/>
                      <w:sz w:val="22"/>
                      <w:szCs w:val="22"/>
                      <w:lang w:eastAsia="en-US"/>
                    </w:rPr>
                    <w:t>(Her madde 2 puandır.)</w:t>
                  </w:r>
                </w:p>
                <w:p w:rsidR="00AE1577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</w:t>
                  </w:r>
                  <w:r w:rsidR="005413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Haritalardaki küçültme oranına ………………………</w:t>
                  </w:r>
                  <w:r w:rsidR="00A64B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 adı verilir.</w:t>
                  </w:r>
                  <w:r w:rsidR="005413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E92C48" w:rsidRPr="00E92C48" w:rsidRDefault="00E92C48" w:rsidP="00664A6C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64A6C" w:rsidRP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Bir yerin ku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şbakışı görünümünün ölçeksiz ve </w:t>
                  </w:r>
                  <w:r w:rsidR="00664A6C" w:rsidRP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kabatasla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  çizimine ………………………… adı verilir. </w:t>
                  </w:r>
                </w:p>
                <w:p w:rsidR="00E92C48" w:rsidRPr="00E92C48" w:rsidRDefault="00E92C48" w:rsidP="00092BB2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c)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Haritalarda kullanılan 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işaret v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 sembollerin ne ifade ettiğini 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gösteren tabloya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…………………………..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denir.</w:t>
                  </w:r>
                </w:p>
                <w:p w:rsidR="00E92C48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d)</w:t>
                  </w:r>
                  <w:r w:rsid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24046" w:rsidRP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Osmanlılarda haritacılık alanında ortaya konulan en ünlü eser ise Pîr</w:t>
                  </w:r>
                  <w:r w:rsid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 Reis’in yazdığı ………………………………………</w:t>
                  </w:r>
                  <w:r w:rsidR="00124046" w:rsidRP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’dir.</w:t>
                  </w:r>
                </w:p>
                <w:p w:rsidR="00E92C48" w:rsidRPr="00E92C48" w:rsidRDefault="00E92C48" w:rsidP="00EB11D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e)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………………………… i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klimin ve iklim elemanlarının 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yeryüzündeki 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oluşumu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nu, etkileşimini ve 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dağılışını inceler.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page" w:horzAnchor="margin" w:tblpY="496"/>
        <w:tblW w:w="7769" w:type="dxa"/>
        <w:tblLook w:val="04A0" w:firstRow="1" w:lastRow="0" w:firstColumn="1" w:lastColumn="0" w:noHBand="0" w:noVBand="1"/>
      </w:tblPr>
      <w:tblGrid>
        <w:gridCol w:w="5768"/>
        <w:gridCol w:w="985"/>
        <w:gridCol w:w="1016"/>
      </w:tblGrid>
      <w:tr w:rsidR="00CA7C3A" w:rsidTr="00CA7C3A">
        <w:trPr>
          <w:trHeight w:val="718"/>
        </w:trPr>
        <w:tc>
          <w:tcPr>
            <w:tcW w:w="77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A7C3A" w:rsidRPr="00A01F83" w:rsidRDefault="00020B8F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Aşağıda verilen ifadelerden hangilerinin doğ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anın insan üzerindeki etkisine,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hangilerinin in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sanın doğa üzerindeki etkisine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örnek olduğunu tabloda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 örnekteki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5C8C">
              <w:rPr>
                <w:rFonts w:asciiTheme="minorHAnsi" w:hAnsiTheme="minorHAnsi" w:cstheme="minorHAnsi"/>
                <w:b/>
                <w:bCs/>
              </w:rPr>
              <w:t xml:space="preserve">gibi </w:t>
            </w:r>
            <w:r w:rsidR="00A35C8C" w:rsidRPr="000D30EF">
              <w:rPr>
                <w:rFonts w:asciiTheme="minorHAnsi" w:hAnsiTheme="minorHAnsi" w:cstheme="minorHAnsi"/>
                <w:b/>
                <w:bCs/>
              </w:rPr>
              <w:t>işaretleyiniz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.</w:t>
            </w:r>
            <w:r w:rsidR="00C312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3123B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CA7C3A" w:rsidTr="00CA7C3A">
        <w:trPr>
          <w:trHeight w:val="718"/>
        </w:trPr>
        <w:tc>
          <w:tcPr>
            <w:tcW w:w="5768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85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1016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A7C3A" w:rsidRPr="00A01F83" w:rsidRDefault="00CA7C3A" w:rsidP="00CA7C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:rsidTr="00551B92">
        <w:trPr>
          <w:trHeight w:val="349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556"/>
        <w:tblW w:w="7859" w:type="dxa"/>
        <w:tblLook w:val="04A0" w:firstRow="1" w:lastRow="0" w:firstColumn="1" w:lastColumn="0" w:noHBand="0" w:noVBand="1"/>
      </w:tblPr>
      <w:tblGrid>
        <w:gridCol w:w="2235"/>
        <w:gridCol w:w="5624"/>
      </w:tblGrid>
      <w:tr w:rsidR="00A35C8C" w:rsidTr="00D47348">
        <w:trPr>
          <w:trHeight w:val="718"/>
        </w:trPr>
        <w:tc>
          <w:tcPr>
            <w:tcW w:w="7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5C8C" w:rsidRPr="00A01F83" w:rsidRDefault="00020B8F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A35C8C">
              <w:rPr>
                <w:rFonts w:asciiTheme="minorHAnsi" w:hAnsiTheme="minorHAnsi" w:cstheme="minorHAnsi"/>
                <w:b/>
                <w:bCs/>
              </w:rPr>
              <w:t>. A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>şağıdaki tabloda A sütununda beşerî ve ekonomik coğrafyanın alt dalları,</w:t>
            </w:r>
            <w:r w:rsidR="00A35C8C">
              <w:rPr>
                <w:rFonts w:asciiTheme="minorHAnsi" w:hAnsiTheme="minorHAnsi" w:cstheme="minorHAnsi"/>
                <w:b/>
                <w:bCs/>
              </w:rPr>
              <w:t xml:space="preserve"> B sütununda bu bilim dallarına 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>ait bazı konular verilmiştir. A sütunundaki rakamları</w:t>
            </w:r>
            <w:r w:rsidR="00A35C8C">
              <w:rPr>
                <w:rFonts w:asciiTheme="minorHAnsi" w:hAnsiTheme="minorHAnsi" w:cstheme="minorHAnsi"/>
                <w:b/>
                <w:bCs/>
              </w:rPr>
              <w:t>, B sütunundaki boşluklara örnekteki gibi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 xml:space="preserve"> yazınız.</w:t>
            </w:r>
            <w:r w:rsidR="00C63D7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63D7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A35C8C" w:rsidTr="00D47348">
        <w:trPr>
          <w:trHeight w:val="450"/>
        </w:trPr>
        <w:tc>
          <w:tcPr>
            <w:tcW w:w="2235" w:type="dxa"/>
            <w:vAlign w:val="center"/>
          </w:tcPr>
          <w:p w:rsidR="00A35C8C" w:rsidRPr="00A01F83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5624" w:type="dxa"/>
            <w:vAlign w:val="center"/>
          </w:tcPr>
          <w:p w:rsidR="00A35C8C" w:rsidRPr="00A01F83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(1)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Ulaşım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6 )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Peri bacalarını ziyaret eden insanlar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(2)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Enerji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Kivi üretim alanları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(3)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Sağlık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Marmara Denizi’nde feribot seferlerinin aksaması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(4)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Ticaret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Batman’da petrol çıkarılması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(5)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Tarım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İhracat ve ithalat yapılan ülkeler</w:t>
            </w:r>
          </w:p>
        </w:tc>
      </w:tr>
      <w:tr w:rsidR="00A35C8C" w:rsidTr="00D47348">
        <w:trPr>
          <w:trHeight w:val="349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(6)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Turizm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 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Tropikal bölgelerde sarıhumma hastalığının yaygın olması</w:t>
            </w: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042"/>
        <w:gridCol w:w="1521"/>
        <w:gridCol w:w="1522"/>
        <w:gridCol w:w="1522"/>
      </w:tblGrid>
      <w:tr w:rsidR="00D47348" w:rsidTr="00D47348">
        <w:trPr>
          <w:trHeight w:val="490"/>
        </w:trPr>
        <w:tc>
          <w:tcPr>
            <w:tcW w:w="76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3123B" w:rsidRDefault="00020B8F" w:rsidP="00C31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D47348" w:rsidRPr="00C3123B">
              <w:rPr>
                <w:rFonts w:asciiTheme="minorHAnsi" w:hAnsiTheme="minorHAnsi" w:cstheme="minorHAnsi"/>
                <w:b/>
                <w:bCs/>
              </w:rPr>
              <w:t xml:space="preserve">. Aşağıdaki tabloda kullanım yeri verilen projeksiyonların hangisi </w:t>
            </w:r>
          </w:p>
          <w:p w:rsidR="00D47348" w:rsidRPr="007926E0" w:rsidRDefault="00D47348" w:rsidP="00C31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3123B">
              <w:rPr>
                <w:rFonts w:asciiTheme="minorHAnsi" w:hAnsiTheme="minorHAnsi" w:cstheme="minorHAnsi"/>
                <w:b/>
                <w:bCs/>
              </w:rPr>
              <w:t>olduğunu işaretleyiniz.</w:t>
            </w:r>
            <w:r w:rsidR="00C3123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(5</w:t>
            </w:r>
            <w:r w:rsidR="00C3123B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puan)</w:t>
            </w:r>
          </w:p>
        </w:tc>
      </w:tr>
      <w:tr w:rsidR="00D47348" w:rsidTr="00D47348">
        <w:trPr>
          <w:trHeight w:val="529"/>
        </w:trPr>
        <w:tc>
          <w:tcPr>
            <w:tcW w:w="304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Kullanım Yeri</w:t>
            </w:r>
          </w:p>
        </w:tc>
        <w:tc>
          <w:tcPr>
            <w:tcW w:w="1521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Silindir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Konik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Düzlem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</w:tr>
      <w:tr w:rsidR="00D47348" w:rsidTr="00D47348">
        <w:trPr>
          <w:trHeight w:val="506"/>
        </w:trPr>
        <w:tc>
          <w:tcPr>
            <w:tcW w:w="304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Ekvator ve yakın çevresinin harita çizimlerinde kullanılır.</w:t>
            </w:r>
          </w:p>
        </w:tc>
        <w:tc>
          <w:tcPr>
            <w:tcW w:w="1521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490"/>
        </w:trPr>
        <w:tc>
          <w:tcPr>
            <w:tcW w:w="304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Orta kuşak haritalarının çizimlerinde kullanılır.</w:t>
            </w:r>
          </w:p>
        </w:tc>
        <w:tc>
          <w:tcPr>
            <w:tcW w:w="1521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506"/>
        </w:trPr>
        <w:tc>
          <w:tcPr>
            <w:tcW w:w="304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Kutuplar ve yakın çevresinin harita çizimlerinde kullanılır.</w:t>
            </w:r>
          </w:p>
        </w:tc>
        <w:tc>
          <w:tcPr>
            <w:tcW w:w="1521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651"/>
        <w:tblW w:w="7769" w:type="dxa"/>
        <w:tblLook w:val="04A0" w:firstRow="1" w:lastRow="0" w:firstColumn="1" w:lastColumn="0" w:noHBand="0" w:noVBand="1"/>
      </w:tblPr>
      <w:tblGrid>
        <w:gridCol w:w="5370"/>
        <w:gridCol w:w="1296"/>
        <w:gridCol w:w="1103"/>
      </w:tblGrid>
      <w:tr w:rsidR="00D47348" w:rsidTr="00D47348">
        <w:trPr>
          <w:trHeight w:val="718"/>
        </w:trPr>
        <w:tc>
          <w:tcPr>
            <w:tcW w:w="77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7348" w:rsidRPr="00A01F83" w:rsidRDefault="00020B8F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>Paralel ve meridyenlerin özelliklerini gö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z önünde bulundurarak tablodaki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 xml:space="preserve">ilgili alanları 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örnekteki gibi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>işaretleyiniz.</w:t>
            </w:r>
            <w:r w:rsidR="00946A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46A0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D47348" w:rsidTr="00D47348">
        <w:trPr>
          <w:trHeight w:val="718"/>
        </w:trPr>
        <w:tc>
          <w:tcPr>
            <w:tcW w:w="5370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296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03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296" w:type="dxa"/>
          </w:tcPr>
          <w:p w:rsidR="00D47348" w:rsidRPr="00E03643" w:rsidRDefault="00D47348" w:rsidP="00D4734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47348" w:rsidRPr="00E0364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296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296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296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296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7348" w:rsidTr="00D47348">
        <w:trPr>
          <w:trHeight w:val="349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296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D2FA5" w:rsidRDefault="00747EA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270" style="position:absolute;margin-left:-8pt;margin-top:9.35pt;width:385.5pt;height:297pt;z-index:251874304;mso-position-horizontal-relative:text;mso-position-vertical-relative:text" coordorigin="8643,4920" coordsize="7710,5940">
            <v:roundrect id="_x0000_s1267" style="position:absolute;left:8643;top:4965;width:7710;height:5895" arcsize="10923f" filled="f">
              <v:textbox style="mso-next-textbox:#_x0000_s1267">
                <w:txbxContent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484CA1" w:rsidRDefault="00484CA1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Ülkemiz, Ekvator’un ……………….. 36°-42° paralelleri ile başlangıç meridyeninin ………………. 26°-45° meridyenleri arasında yer almaktadır.</w:t>
                    </w: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Ülkemizin en kuzeyi ile en güneyi arasında ………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paralel bulunur. Bu paralell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er arasındaki kuş uçuşu uzaklık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yaklaşık ……..…… km’dir. Ülkemiz ………….. kuşakta bulunduğu için Güneş ışınları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dik gelmez ve gölge boyu hiçbir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zaman sıfır olmaz. Öğle vakti gölge yönü ………………. gösterir. Dağlarımızın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………………………. Güneş ışınlarını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daha dik açılarla alır. Ülkemizde ılıman iklimler görülür ve …………………. belirgin olarak yaşanır.</w:t>
                    </w: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Ülkemizin en doğusu ile en batısı arasında …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..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…… meridyen bulunur. Bu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nedenle en doğusu ile en batısı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arasında yerel saat farkı yaklaşık …..…… dakikadır. Ülkemiz ………………. saat dilimlerinde yer alır.</w:t>
                    </w:r>
                  </w:p>
                </w:txbxContent>
              </v:textbox>
            </v:roundrect>
            <v:roundrect id="_x0000_s1268" style="position:absolute;left:9075;top:5700;width:6885;height:825" arcsize="10923f" strokeweight="1.5pt">
              <v:stroke dashstyle="dash"/>
              <v:textbox style="mso-next-textbox:#_x0000_s1268">
                <w:txbxContent>
                  <w:p w:rsidR="008623B7" w:rsidRPr="008623B7" w:rsidRDefault="008623B7" w:rsidP="008623B7">
                    <w:pPr>
                      <w:jc w:val="center"/>
                      <w:rPr>
                        <w:b/>
                      </w:rPr>
                    </w:pPr>
                    <w:r w:rsidRPr="008623B7">
                      <w:rPr>
                        <w:b/>
                      </w:rPr>
                      <w:t xml:space="preserve">19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mevsimler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76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doğusunda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kuzeyinde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6</w:t>
                    </w:r>
                  </w:p>
                  <w:p w:rsidR="008623B7" w:rsidRPr="008623B7" w:rsidRDefault="008623B7" w:rsidP="008623B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  <w:r w:rsidRPr="008623B7">
                      <w:rPr>
                        <w:b/>
                      </w:rPr>
                      <w:t>rta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2 ve 3.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 w:rsidR="004F776B"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666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güney yamaçları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kuzeyi</w:t>
                    </w:r>
                  </w:p>
                </w:txbxContent>
              </v:textbox>
            </v:roundrect>
            <v:roundrect id="_x0000_s1269" style="position:absolute;left:9375;top:4920;width:6360;height:960" arcsize="10923f" filled="f" stroked="f" strokeweight="1.5pt">
              <v:stroke dashstyle="dash"/>
              <v:textbox style="mso-next-textbox:#_x0000_s1269">
                <w:txbxContent>
                  <w:p w:rsidR="00484CA1" w:rsidRPr="00484CA1" w:rsidRDefault="00020B8F" w:rsidP="00484CA1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14</w:t>
                    </w:r>
                    <w:r w:rsidR="00484CA1" w:rsidRPr="00484CA1">
                      <w:rPr>
                        <w:rFonts w:asciiTheme="minorHAnsi" w:hAnsiTheme="minorHAnsi" w:cstheme="minorHAnsi"/>
                        <w:b/>
                      </w:rPr>
                      <w:t>. aşağıdaki cümlelerde yer alan boşlukları kutu içinde verilen doğru sözcük ve sayılarla doldurunuz.</w:t>
                    </w:r>
                    <w:r w:rsidR="000D463E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="00F57810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(15</w:t>
                    </w:r>
                    <w:r w:rsidR="000D463E" w:rsidRPr="00C3123B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 xml:space="preserve"> puan)</w:t>
                    </w:r>
                  </w:p>
                </w:txbxContent>
              </v:textbox>
            </v:roundrect>
          </v:group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747EA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04.45pt;margin-top:2.8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AA" w:rsidRDefault="00747EAA" w:rsidP="00424851">
      <w:r>
        <w:separator/>
      </w:r>
    </w:p>
  </w:endnote>
  <w:endnote w:type="continuationSeparator" w:id="0">
    <w:p w:rsidR="00747EAA" w:rsidRDefault="00747EA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AA" w:rsidRDefault="00747EAA" w:rsidP="00424851">
      <w:r>
        <w:separator/>
      </w:r>
    </w:p>
  </w:footnote>
  <w:footnote w:type="continuationSeparator" w:id="0">
    <w:p w:rsidR="00747EAA" w:rsidRDefault="00747EA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0B8F"/>
    <w:rsid w:val="00026B8F"/>
    <w:rsid w:val="000273AD"/>
    <w:rsid w:val="00035E43"/>
    <w:rsid w:val="00076EEA"/>
    <w:rsid w:val="00092BB2"/>
    <w:rsid w:val="000C0887"/>
    <w:rsid w:val="000C2919"/>
    <w:rsid w:val="000C7E17"/>
    <w:rsid w:val="000D30EF"/>
    <w:rsid w:val="000D463E"/>
    <w:rsid w:val="000D7190"/>
    <w:rsid w:val="000F7558"/>
    <w:rsid w:val="00115118"/>
    <w:rsid w:val="00124046"/>
    <w:rsid w:val="0014438D"/>
    <w:rsid w:val="00150E95"/>
    <w:rsid w:val="00190706"/>
    <w:rsid w:val="001A63CF"/>
    <w:rsid w:val="001E4454"/>
    <w:rsid w:val="001E5676"/>
    <w:rsid w:val="001E74BE"/>
    <w:rsid w:val="001F4F03"/>
    <w:rsid w:val="00224212"/>
    <w:rsid w:val="00224970"/>
    <w:rsid w:val="00257597"/>
    <w:rsid w:val="00257956"/>
    <w:rsid w:val="00266907"/>
    <w:rsid w:val="00266B02"/>
    <w:rsid w:val="00276724"/>
    <w:rsid w:val="002D3EB9"/>
    <w:rsid w:val="002F4E02"/>
    <w:rsid w:val="00303BCC"/>
    <w:rsid w:val="0032644C"/>
    <w:rsid w:val="00327909"/>
    <w:rsid w:val="00346E2D"/>
    <w:rsid w:val="003530F3"/>
    <w:rsid w:val="00361EB1"/>
    <w:rsid w:val="00366E2D"/>
    <w:rsid w:val="003730A1"/>
    <w:rsid w:val="003A1BEE"/>
    <w:rsid w:val="003A7012"/>
    <w:rsid w:val="003C7240"/>
    <w:rsid w:val="00400B90"/>
    <w:rsid w:val="0041637E"/>
    <w:rsid w:val="00424851"/>
    <w:rsid w:val="00426855"/>
    <w:rsid w:val="00437037"/>
    <w:rsid w:val="00453A12"/>
    <w:rsid w:val="00456B7E"/>
    <w:rsid w:val="00481D31"/>
    <w:rsid w:val="00484CA1"/>
    <w:rsid w:val="0049689E"/>
    <w:rsid w:val="004A6F05"/>
    <w:rsid w:val="004C23E3"/>
    <w:rsid w:val="004E5B56"/>
    <w:rsid w:val="004F776B"/>
    <w:rsid w:val="00505B59"/>
    <w:rsid w:val="00510332"/>
    <w:rsid w:val="00541370"/>
    <w:rsid w:val="00551B92"/>
    <w:rsid w:val="005537BD"/>
    <w:rsid w:val="005612B9"/>
    <w:rsid w:val="005650DF"/>
    <w:rsid w:val="00596FD6"/>
    <w:rsid w:val="005A17C9"/>
    <w:rsid w:val="005B28BB"/>
    <w:rsid w:val="005C107C"/>
    <w:rsid w:val="005D0301"/>
    <w:rsid w:val="005E29BD"/>
    <w:rsid w:val="005E5096"/>
    <w:rsid w:val="00622B89"/>
    <w:rsid w:val="00623CC3"/>
    <w:rsid w:val="006376F7"/>
    <w:rsid w:val="00644DFE"/>
    <w:rsid w:val="0064793C"/>
    <w:rsid w:val="00664A6C"/>
    <w:rsid w:val="006B49F1"/>
    <w:rsid w:val="006B54FF"/>
    <w:rsid w:val="006B5E4D"/>
    <w:rsid w:val="006E32BE"/>
    <w:rsid w:val="00737CEB"/>
    <w:rsid w:val="00747EAA"/>
    <w:rsid w:val="0077663E"/>
    <w:rsid w:val="007926E0"/>
    <w:rsid w:val="007A332D"/>
    <w:rsid w:val="007E37E0"/>
    <w:rsid w:val="00835C60"/>
    <w:rsid w:val="008373AB"/>
    <w:rsid w:val="008449B4"/>
    <w:rsid w:val="008509B3"/>
    <w:rsid w:val="00857544"/>
    <w:rsid w:val="008623B7"/>
    <w:rsid w:val="00874615"/>
    <w:rsid w:val="00877BDD"/>
    <w:rsid w:val="008C7037"/>
    <w:rsid w:val="008E4C38"/>
    <w:rsid w:val="00937D96"/>
    <w:rsid w:val="00946A02"/>
    <w:rsid w:val="009756EB"/>
    <w:rsid w:val="00993798"/>
    <w:rsid w:val="00994F08"/>
    <w:rsid w:val="009C1746"/>
    <w:rsid w:val="009C77A3"/>
    <w:rsid w:val="00A01F83"/>
    <w:rsid w:val="00A03689"/>
    <w:rsid w:val="00A06962"/>
    <w:rsid w:val="00A12891"/>
    <w:rsid w:val="00A12D69"/>
    <w:rsid w:val="00A14B41"/>
    <w:rsid w:val="00A35C8C"/>
    <w:rsid w:val="00A4706B"/>
    <w:rsid w:val="00A64BC6"/>
    <w:rsid w:val="00A66678"/>
    <w:rsid w:val="00A80866"/>
    <w:rsid w:val="00A90076"/>
    <w:rsid w:val="00A906D4"/>
    <w:rsid w:val="00AA6050"/>
    <w:rsid w:val="00AE1577"/>
    <w:rsid w:val="00AE31E3"/>
    <w:rsid w:val="00AE3403"/>
    <w:rsid w:val="00AF0CBC"/>
    <w:rsid w:val="00B16783"/>
    <w:rsid w:val="00B2314B"/>
    <w:rsid w:val="00B3047D"/>
    <w:rsid w:val="00B333AE"/>
    <w:rsid w:val="00B34D11"/>
    <w:rsid w:val="00B42511"/>
    <w:rsid w:val="00B47EF8"/>
    <w:rsid w:val="00B51F12"/>
    <w:rsid w:val="00BC0F56"/>
    <w:rsid w:val="00C3123B"/>
    <w:rsid w:val="00C40E95"/>
    <w:rsid w:val="00C428A7"/>
    <w:rsid w:val="00C63A75"/>
    <w:rsid w:val="00C63D72"/>
    <w:rsid w:val="00C667DA"/>
    <w:rsid w:val="00C66AF9"/>
    <w:rsid w:val="00C71E9D"/>
    <w:rsid w:val="00C91D62"/>
    <w:rsid w:val="00CA0147"/>
    <w:rsid w:val="00CA7C3A"/>
    <w:rsid w:val="00CB1E85"/>
    <w:rsid w:val="00CE22BD"/>
    <w:rsid w:val="00CE7A0D"/>
    <w:rsid w:val="00CF2E4B"/>
    <w:rsid w:val="00CF3FF8"/>
    <w:rsid w:val="00D03D5F"/>
    <w:rsid w:val="00D47348"/>
    <w:rsid w:val="00D706CD"/>
    <w:rsid w:val="00D817A6"/>
    <w:rsid w:val="00D95EED"/>
    <w:rsid w:val="00DA108D"/>
    <w:rsid w:val="00DA1B31"/>
    <w:rsid w:val="00DB181A"/>
    <w:rsid w:val="00DD55D4"/>
    <w:rsid w:val="00E004DA"/>
    <w:rsid w:val="00E03643"/>
    <w:rsid w:val="00E2653B"/>
    <w:rsid w:val="00E70BBB"/>
    <w:rsid w:val="00E73BCE"/>
    <w:rsid w:val="00E92C48"/>
    <w:rsid w:val="00E94B8C"/>
    <w:rsid w:val="00EB11D8"/>
    <w:rsid w:val="00EC431E"/>
    <w:rsid w:val="00F24FCD"/>
    <w:rsid w:val="00F57810"/>
    <w:rsid w:val="00F867F4"/>
    <w:rsid w:val="00FA3AE1"/>
    <w:rsid w:val="00FB0AE4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2A1D-9B80-45DA-9277-FBC94C1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Burak ESER</Company>
  <LinksUpToDate>false</LinksUpToDate>
  <CharactersWithSpaces>2121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1. Yazılı 2018</dc:title>
  <dc:subject>Cografyahocasi.com</dc:subject>
  <dc:creator>Cografyahocasi.com</dc:creator>
  <cp:keywords>Coğrafya Yazılı</cp:keywords>
  <dc:description>Cografyahocasi.com</dc:description>
  <cp:lastModifiedBy>Burak</cp:lastModifiedBy>
  <cp:revision>122</cp:revision>
  <dcterms:created xsi:type="dcterms:W3CDTF">2011-10-30T14:02:00Z</dcterms:created>
  <dcterms:modified xsi:type="dcterms:W3CDTF">2017-10-24T10:51:00Z</dcterms:modified>
  <cp:category>Cografyahocasi.com</cp:category>
  <cp:contentStatus>Cografyahocasi.com</cp:contentStatus>
</cp:coreProperties>
</file>